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70" w:type="dxa"/>
          <w:right w:w="70" w:type="dxa"/>
        </w:tblCellMar>
        <w:tblLook w:val="0000" w:firstRow="0" w:lastRow="0" w:firstColumn="0" w:lastColumn="0" w:noHBand="0" w:noVBand="0"/>
      </w:tblPr>
      <w:tblGrid>
        <w:gridCol w:w="3306"/>
        <w:gridCol w:w="3306"/>
        <w:gridCol w:w="3307"/>
      </w:tblGrid>
      <w:tr w:rsidR="00000000">
        <w:tc>
          <w:tcPr>
            <w:tcW w:w="3306" w:type="dxa"/>
            <w:shd w:val="clear" w:color="auto" w:fill="auto"/>
            <w:vAlign w:val="center"/>
          </w:tcPr>
          <w:p w:rsidR="00000000" w:rsidRDefault="00F6551E">
            <w:pPr>
              <w:snapToGrid w:val="0"/>
              <w:jc w:val="center"/>
              <w:rPr>
                <w:b/>
              </w:rPr>
            </w:pPr>
            <w:r>
              <w:rPr>
                <w:noProof/>
                <w:lang w:eastAsia="it-IT"/>
              </w:rPr>
              <w:drawing>
                <wp:anchor distT="0" distB="0" distL="0" distR="0" simplePos="0" relativeHeight="251657728" behindDoc="0" locked="0" layoutInCell="1" allowOverlap="1">
                  <wp:simplePos x="0" y="0"/>
                  <wp:positionH relativeFrom="column">
                    <wp:posOffset>615950</wp:posOffset>
                  </wp:positionH>
                  <wp:positionV relativeFrom="paragraph">
                    <wp:posOffset>-62230</wp:posOffset>
                  </wp:positionV>
                  <wp:extent cx="1009015" cy="1009015"/>
                  <wp:effectExtent l="0" t="0" r="635" b="635"/>
                  <wp:wrapSquare wrapText="larges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306" w:type="dxa"/>
            <w:shd w:val="clear" w:color="auto" w:fill="auto"/>
            <w:vAlign w:val="center"/>
          </w:tcPr>
          <w:p w:rsidR="00000000" w:rsidRDefault="00F6551E">
            <w:pPr>
              <w:jc w:val="center"/>
            </w:pPr>
            <w:r>
              <w:rPr>
                <w:b/>
                <w:noProof/>
                <w:lang w:eastAsia="it-IT"/>
              </w:rPr>
              <w:drawing>
                <wp:inline distT="0" distB="0" distL="0" distR="0">
                  <wp:extent cx="1971675" cy="876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876300"/>
                          </a:xfrm>
                          <a:prstGeom prst="rect">
                            <a:avLst/>
                          </a:prstGeom>
                          <a:solidFill>
                            <a:srgbClr val="FFFFFF"/>
                          </a:solidFill>
                          <a:ln>
                            <a:noFill/>
                          </a:ln>
                        </pic:spPr>
                      </pic:pic>
                    </a:graphicData>
                  </a:graphic>
                </wp:inline>
              </w:drawing>
            </w:r>
          </w:p>
        </w:tc>
        <w:tc>
          <w:tcPr>
            <w:tcW w:w="3307" w:type="dxa"/>
            <w:shd w:val="clear" w:color="auto" w:fill="auto"/>
            <w:vAlign w:val="center"/>
          </w:tcPr>
          <w:p w:rsidR="00000000" w:rsidRDefault="00F6551E">
            <w:pPr>
              <w:jc w:val="center"/>
              <w:rPr>
                <w:sz w:val="44"/>
              </w:rPr>
            </w:pPr>
            <w:r>
              <w:rPr>
                <w:b/>
                <w:noProof/>
                <w:lang w:eastAsia="it-IT"/>
              </w:rPr>
              <w:drawing>
                <wp:inline distT="0" distB="0" distL="0" distR="0">
                  <wp:extent cx="1104900" cy="742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742950"/>
                          </a:xfrm>
                          <a:prstGeom prst="rect">
                            <a:avLst/>
                          </a:prstGeom>
                          <a:solidFill>
                            <a:srgbClr val="FFFFFF"/>
                          </a:solidFill>
                          <a:ln>
                            <a:noFill/>
                          </a:ln>
                        </pic:spPr>
                      </pic:pic>
                    </a:graphicData>
                  </a:graphic>
                </wp:inline>
              </w:drawing>
            </w:r>
          </w:p>
        </w:tc>
      </w:tr>
    </w:tbl>
    <w:p w:rsidR="00000000" w:rsidRDefault="001D19B7">
      <w:pPr>
        <w:pStyle w:val="Didascalia"/>
      </w:pPr>
      <w:r>
        <w:rPr>
          <w:sz w:val="44"/>
        </w:rPr>
        <w:t>ISTITUTO DI ISTRUZIONE SUPERIORE</w:t>
      </w:r>
    </w:p>
    <w:p w:rsidR="00000000" w:rsidRDefault="001D19B7">
      <w:pPr>
        <w:pStyle w:val="Titolo2"/>
      </w:pPr>
      <w:r>
        <w:rPr>
          <w:rFonts w:eastAsia="Arial"/>
          <w:b w:val="0"/>
          <w:i/>
          <w:iCs/>
          <w:sz w:val="22"/>
          <w:szCs w:val="24"/>
        </w:rPr>
        <w:t>“</w:t>
      </w:r>
      <w:r>
        <w:rPr>
          <w:b w:val="0"/>
          <w:i/>
          <w:iCs/>
          <w:sz w:val="22"/>
          <w:szCs w:val="24"/>
        </w:rPr>
        <w:t>Michelangelo  Buonarroti”</w:t>
      </w:r>
    </w:p>
    <w:p w:rsidR="00000000" w:rsidRDefault="001D19B7">
      <w:pPr>
        <w:pStyle w:val="Titolo3"/>
        <w:jc w:val="center"/>
      </w:pPr>
      <w:r>
        <w:rPr>
          <w:rFonts w:ascii="Tahoma" w:hAnsi="Tahoma" w:cs="Tahoma"/>
          <w:b w:val="0"/>
          <w:sz w:val="14"/>
        </w:rPr>
        <w:t xml:space="preserve">Via Velio Spano, 7 – 09036 Guspini (VS) Cod. fiscale  82002450920 – Cod. </w:t>
      </w:r>
      <w:r>
        <w:rPr>
          <w:rFonts w:ascii="Tahoma" w:hAnsi="Tahoma" w:cs="Tahoma"/>
          <w:b w:val="0"/>
          <w:sz w:val="14"/>
          <w:lang w:val="fr-FR"/>
        </w:rPr>
        <w:t>Min. CAIS009007</w:t>
      </w:r>
    </w:p>
    <w:p w:rsidR="00000000" w:rsidRPr="00785F83" w:rsidRDefault="001D19B7">
      <w:pPr>
        <w:pStyle w:val="Titolo3"/>
        <w:jc w:val="center"/>
        <w:rPr>
          <w:lang w:val="en-US"/>
        </w:rPr>
      </w:pPr>
      <w:r>
        <w:rPr>
          <w:rFonts w:ascii="Tahoma" w:hAnsi="Tahoma" w:cs="Tahoma"/>
          <w:b w:val="0"/>
          <w:sz w:val="14"/>
          <w:lang w:val="fr-FR"/>
        </w:rPr>
        <w:t xml:space="preserve">E-Mail: </w:t>
      </w:r>
      <w:r>
        <w:rPr>
          <w:rFonts w:ascii="Tahoma" w:hAnsi="Tahoma" w:cs="Tahoma"/>
          <w:sz w:val="14"/>
          <w:lang w:val="fr-FR"/>
        </w:rPr>
        <w:t>cais009007@istruzione.it</w:t>
      </w:r>
      <w:r>
        <w:rPr>
          <w:rFonts w:ascii="Tahoma" w:hAnsi="Tahoma" w:cs="Tahoma"/>
          <w:b w:val="0"/>
          <w:sz w:val="14"/>
          <w:lang w:val="fr-FR"/>
        </w:rPr>
        <w:t xml:space="preserve">  - Web: </w:t>
      </w:r>
      <w:hyperlink r:id="rId8" w:history="1">
        <w:r>
          <w:rPr>
            <w:rStyle w:val="Collegamentoipertestuale"/>
            <w:rFonts w:ascii="Tahoma" w:hAnsi="Tahoma" w:cs="Tahoma"/>
            <w:sz w:val="14"/>
            <w:lang w:val="fr-FR"/>
          </w:rPr>
          <w:t>http://www.</w:t>
        </w:r>
        <w:r>
          <w:rPr>
            <w:rStyle w:val="Collegamentoipertestuale"/>
            <w:rFonts w:ascii="Tahoma" w:hAnsi="Tahoma" w:cs="Tahoma"/>
            <w:sz w:val="14"/>
            <w:lang w:val="fr-FR"/>
          </w:rPr>
          <w:t>buonarrotiguspini.it</w:t>
        </w:r>
      </w:hyperlink>
      <w:r>
        <w:rPr>
          <w:rFonts w:ascii="Tahoma" w:hAnsi="Tahoma" w:cs="Tahoma"/>
          <w:b w:val="0"/>
          <w:sz w:val="14"/>
          <w:lang w:val="fr-FR"/>
        </w:rPr>
        <w:t xml:space="preserve"> / - Tel.  0709783042 - Fax 0709783373</w:t>
      </w:r>
    </w:p>
    <w:p w:rsidR="00000000" w:rsidRDefault="001D19B7">
      <w:pPr>
        <w:jc w:val="center"/>
      </w:pPr>
      <w:r>
        <w:rPr>
          <w:rFonts w:ascii="Tahoma" w:hAnsi="Tahoma" w:cs="Tahoma"/>
          <w:sz w:val="14"/>
        </w:rPr>
        <w:t xml:space="preserve">Sede Associata: Via Velio Spano 7  09036 </w:t>
      </w:r>
      <w:r>
        <w:rPr>
          <w:rFonts w:ascii="Tahoma" w:hAnsi="Tahoma" w:cs="Tahoma"/>
          <w:b/>
          <w:bCs/>
          <w:sz w:val="14"/>
        </w:rPr>
        <w:t>Guspini</w:t>
      </w:r>
      <w:r>
        <w:rPr>
          <w:rFonts w:ascii="Tahoma" w:hAnsi="Tahoma" w:cs="Tahoma"/>
          <w:sz w:val="14"/>
        </w:rPr>
        <w:t xml:space="preserve"> (VS) – Cod. Min. CATD00901D</w:t>
      </w:r>
    </w:p>
    <w:p w:rsidR="00000000" w:rsidRDefault="001D19B7">
      <w:pPr>
        <w:pStyle w:val="Titolo3"/>
        <w:jc w:val="center"/>
      </w:pPr>
      <w:r>
        <w:rPr>
          <w:rFonts w:ascii="Tahoma" w:hAnsi="Tahoma" w:cs="Tahoma"/>
          <w:b w:val="0"/>
          <w:bCs/>
          <w:sz w:val="14"/>
        </w:rPr>
        <w:t xml:space="preserve">Sede Associata: Via  Svezia 10  09038 Serramanna (VS) – Cod. Min. CATF 00901Q  </w:t>
      </w:r>
      <w:hyperlink r:id="rId9" w:history="1">
        <w:r>
          <w:rPr>
            <w:rStyle w:val="Collegamentoipertestuale"/>
            <w:rFonts w:ascii="Tahoma" w:hAnsi="Tahoma" w:cs="Tahoma"/>
            <w:bCs/>
            <w:sz w:val="14"/>
          </w:rPr>
          <w:t>buonarrotiserramanna@tiscali.it</w:t>
        </w:r>
      </w:hyperlink>
      <w:r>
        <w:rPr>
          <w:rFonts w:ascii="Tahoma" w:hAnsi="Tahoma" w:cs="Tahoma"/>
          <w:b w:val="0"/>
          <w:bCs/>
          <w:sz w:val="14"/>
        </w:rPr>
        <w:t xml:space="preserve"> Tel 070 9139916 – Fax 070 9131170</w:t>
      </w:r>
    </w:p>
    <w:p w:rsidR="00000000" w:rsidRDefault="001D19B7">
      <w:pPr>
        <w:pStyle w:val="Didascalia"/>
      </w:pPr>
      <w:r>
        <w:rPr>
          <w:rFonts w:ascii="Arial" w:hAnsi="Arial" w:cs="Arial"/>
          <w:b w:val="0"/>
          <w:sz w:val="28"/>
        </w:rPr>
        <w:t>______________________________________________________________</w:t>
      </w:r>
    </w:p>
    <w:p w:rsidR="00000000" w:rsidRDefault="001D19B7">
      <w:pPr>
        <w:pStyle w:val="Titolo6"/>
        <w:numPr>
          <w:ilvl w:val="0"/>
          <w:numId w:val="0"/>
        </w:numPr>
        <w:ind w:left="1152" w:hanging="1152"/>
        <w:rPr>
          <w:sz w:val="24"/>
        </w:rPr>
      </w:pPr>
    </w:p>
    <w:p w:rsidR="00000000" w:rsidRDefault="001D19B7">
      <w:pPr>
        <w:rPr>
          <w:sz w:val="24"/>
        </w:rPr>
      </w:pPr>
    </w:p>
    <w:p w:rsidR="00000000" w:rsidRDefault="001D19B7">
      <w:pPr>
        <w:pStyle w:val="Default"/>
        <w:jc w:val="center"/>
      </w:pPr>
      <w:r>
        <w:rPr>
          <w:b/>
          <w:bCs/>
          <w:sz w:val="23"/>
        </w:rPr>
        <w:t>REGOLAMENTO PER LA DISCIPLINA DI ASSEGNAZIONE DEGLI INCARICHI IN SENO AI PROGETTI POF/PTOF/PON e POR AGLI ESPE</w:t>
      </w:r>
      <w:r>
        <w:rPr>
          <w:b/>
          <w:bCs/>
          <w:sz w:val="23"/>
        </w:rPr>
        <w:t xml:space="preserve">RTI  ESTERNI </w:t>
      </w:r>
    </w:p>
    <w:p w:rsidR="00000000" w:rsidRDefault="001D19B7">
      <w:pPr>
        <w:pStyle w:val="Default"/>
        <w:jc w:val="center"/>
        <w:rPr>
          <w:b/>
          <w:bCs/>
        </w:rPr>
      </w:pPr>
    </w:p>
    <w:p w:rsidR="00000000" w:rsidRDefault="001D19B7">
      <w:pPr>
        <w:pStyle w:val="Default"/>
        <w:jc w:val="center"/>
      </w:pPr>
      <w:r>
        <w:rPr>
          <w:b/>
          <w:bCs/>
          <w:sz w:val="20"/>
        </w:rPr>
        <w:t xml:space="preserve">IL CONSIGLIO D’ISTITUTO </w:t>
      </w:r>
    </w:p>
    <w:p w:rsidR="00000000" w:rsidRDefault="001D19B7">
      <w:pPr>
        <w:pStyle w:val="Default"/>
        <w:jc w:val="center"/>
        <w:rPr>
          <w:b/>
          <w:bCs/>
        </w:rPr>
      </w:pPr>
    </w:p>
    <w:p w:rsidR="00000000" w:rsidRDefault="001D19B7">
      <w:pPr>
        <w:pStyle w:val="Default"/>
      </w:pPr>
      <w:r>
        <w:rPr>
          <w:b/>
          <w:sz w:val="20"/>
        </w:rPr>
        <w:t>Visti</w:t>
      </w:r>
      <w:r>
        <w:rPr>
          <w:sz w:val="20"/>
        </w:rPr>
        <w:t xml:space="preserve"> gli artt. 8 e 9 del D.P.R. 8/3/99 n. 275; </w:t>
      </w:r>
    </w:p>
    <w:p w:rsidR="00000000" w:rsidRDefault="001D19B7">
      <w:pPr>
        <w:pStyle w:val="Default"/>
      </w:pPr>
      <w:r>
        <w:rPr>
          <w:b/>
          <w:sz w:val="20"/>
        </w:rPr>
        <w:t>Visto</w:t>
      </w:r>
      <w:r>
        <w:rPr>
          <w:sz w:val="20"/>
        </w:rPr>
        <w:t xml:space="preserve"> l’art. 40 del D.I. 1/2/2001 n. 44 con cui viene attribuita alle istituzioni scolastiche la facoltà di stipulare contratti di prestazione d’opera con esperti est</w:t>
      </w:r>
      <w:r>
        <w:rPr>
          <w:sz w:val="20"/>
        </w:rPr>
        <w:t xml:space="preserve">erni per particolari attività e insegnamenti, al fine di garantire l’arricchimento dell’offerta formativa; </w:t>
      </w:r>
    </w:p>
    <w:p w:rsidR="00000000" w:rsidRDefault="001D19B7">
      <w:pPr>
        <w:pStyle w:val="Default"/>
      </w:pPr>
      <w:r>
        <w:rPr>
          <w:b/>
          <w:sz w:val="20"/>
        </w:rPr>
        <w:t>Visto</w:t>
      </w:r>
      <w:r>
        <w:rPr>
          <w:sz w:val="20"/>
        </w:rPr>
        <w:t xml:space="preserve"> l’art. 33, 2° comma, del D.I. 1/2/2001 n. 44 con cui viene affidata al consiglio d’istituto la determinazione dei criteri generali per la stip</w:t>
      </w:r>
      <w:r>
        <w:rPr>
          <w:sz w:val="20"/>
        </w:rPr>
        <w:t xml:space="preserve">ula dei contratti di prestazione d’opera per l’arricchimento dell’offerta formativa; </w:t>
      </w:r>
    </w:p>
    <w:p w:rsidR="00000000" w:rsidRDefault="001D19B7">
      <w:pPr>
        <w:pStyle w:val="Default"/>
      </w:pPr>
      <w:r>
        <w:rPr>
          <w:b/>
          <w:sz w:val="20"/>
        </w:rPr>
        <w:t>Vist</w:t>
      </w:r>
      <w:r>
        <w:rPr>
          <w:sz w:val="20"/>
        </w:rPr>
        <w:t xml:space="preserve">o l’art. 10 del T.U. 16/4/94 n. 297; </w:t>
      </w:r>
    </w:p>
    <w:p w:rsidR="00000000" w:rsidRDefault="001D19B7">
      <w:pPr>
        <w:pStyle w:val="Default"/>
      </w:pPr>
      <w:r>
        <w:rPr>
          <w:b/>
          <w:sz w:val="20"/>
        </w:rPr>
        <w:t>Visto</w:t>
      </w:r>
      <w:r>
        <w:rPr>
          <w:sz w:val="20"/>
        </w:rPr>
        <w:t xml:space="preserve"> l’art. 46 del D.L. 112/08; </w:t>
      </w:r>
    </w:p>
    <w:p w:rsidR="00000000" w:rsidRDefault="001D19B7">
      <w:pPr>
        <w:pStyle w:val="Default"/>
      </w:pPr>
      <w:r>
        <w:rPr>
          <w:sz w:val="20"/>
        </w:rPr>
        <w:t xml:space="preserve">Premesso che il dirigente scolastico può procedere a trattativa diretta qualora, in relazione </w:t>
      </w:r>
      <w:r>
        <w:rPr>
          <w:sz w:val="20"/>
        </w:rPr>
        <w:t xml:space="preserve">a specifiche competenze richieste, il professionista esterno sia l’unico in possesso delle stesse competenze; </w:t>
      </w:r>
    </w:p>
    <w:p w:rsidR="00000000" w:rsidRDefault="001D19B7">
      <w:pPr>
        <w:pStyle w:val="Default"/>
        <w:jc w:val="center"/>
      </w:pPr>
      <w:r>
        <w:rPr>
          <w:b/>
          <w:bCs/>
          <w:sz w:val="20"/>
        </w:rPr>
        <w:t xml:space="preserve">EMANA </w:t>
      </w:r>
    </w:p>
    <w:p w:rsidR="00000000" w:rsidRDefault="001D19B7">
      <w:pPr>
        <w:pStyle w:val="Default"/>
      </w:pPr>
      <w:r>
        <w:rPr>
          <w:sz w:val="20"/>
        </w:rPr>
        <w:t xml:space="preserve">il seguente regolamento che è parte integrante del regolamento d’istituto. </w:t>
      </w:r>
    </w:p>
    <w:p w:rsidR="00000000" w:rsidRDefault="001D19B7">
      <w:pPr>
        <w:pStyle w:val="Default"/>
      </w:pPr>
      <w:r>
        <w:rPr>
          <w:b/>
          <w:sz w:val="20"/>
        </w:rPr>
        <w:t xml:space="preserve">Art. 1 – finalità e ambito di applicazione </w:t>
      </w:r>
    </w:p>
    <w:p w:rsidR="00000000" w:rsidRDefault="001D19B7">
      <w:pPr>
        <w:pStyle w:val="Default"/>
        <w:jc w:val="both"/>
      </w:pPr>
      <w:r>
        <w:rPr>
          <w:sz w:val="20"/>
        </w:rPr>
        <w:t>1. Il presente reg</w:t>
      </w:r>
      <w:r>
        <w:rPr>
          <w:sz w:val="20"/>
        </w:rPr>
        <w:t>olamento disciplina, ai sensi dell’art. 40 del D.I. 44/2001 e dell’art. 46 del D.L. 112/08, le modalità e i criteri per il conferimento di contratti di prestazione d’opera per attività e insegnamenti che richiedono specifiche e peculiari competenze profess</w:t>
      </w:r>
      <w:r>
        <w:rPr>
          <w:sz w:val="20"/>
        </w:rPr>
        <w:t xml:space="preserve">ionali nell’ambito della programmazione didattica annuale, al fine di sopperire a particolari e motivate esigenze didattiche deliberate nel P.O.F. </w:t>
      </w:r>
    </w:p>
    <w:p w:rsidR="00000000" w:rsidRDefault="001D19B7">
      <w:pPr>
        <w:pStyle w:val="Default"/>
        <w:jc w:val="both"/>
        <w:rPr>
          <w:sz w:val="20"/>
        </w:rPr>
      </w:pPr>
    </w:p>
    <w:p w:rsidR="00000000" w:rsidRDefault="001D19B7">
      <w:pPr>
        <w:pStyle w:val="Default"/>
      </w:pPr>
      <w:r>
        <w:rPr>
          <w:b/>
          <w:sz w:val="20"/>
        </w:rPr>
        <w:t xml:space="preserve">Art. 2 – presupposti per il conferimento degli incarichi </w:t>
      </w:r>
    </w:p>
    <w:p w:rsidR="00000000" w:rsidRDefault="001D19B7">
      <w:pPr>
        <w:pStyle w:val="Default"/>
        <w:spacing w:after="36"/>
        <w:jc w:val="both"/>
      </w:pPr>
      <w:r>
        <w:rPr>
          <w:sz w:val="20"/>
        </w:rPr>
        <w:t>1. Sulla base dell’offerta formativa e delle rich</w:t>
      </w:r>
      <w:r>
        <w:rPr>
          <w:sz w:val="20"/>
        </w:rPr>
        <w:t xml:space="preserve">ieste del collegio dei docenti, che deve individuare le esigenze didattiche da soddisfare, l’istituzione scolastica nella figura del dirigente scolastico: </w:t>
      </w:r>
    </w:p>
    <w:p w:rsidR="00000000" w:rsidRDefault="001D19B7">
      <w:pPr>
        <w:pStyle w:val="Default"/>
        <w:spacing w:after="36"/>
        <w:jc w:val="both"/>
      </w:pPr>
      <w:r>
        <w:rPr>
          <w:sz w:val="20"/>
        </w:rPr>
        <w:t>a. Accerta preliminarmente l’impossibilità di utilizzare personale interno per inesistenza di specif</w:t>
      </w:r>
      <w:r>
        <w:rPr>
          <w:sz w:val="20"/>
        </w:rPr>
        <w:t xml:space="preserve">iche competenze, per indisponibilità o coincidenza di altri impegni di lavoro o per oggettiva necessità di ricorrere a specifica professionalità esterna; </w:t>
      </w:r>
    </w:p>
    <w:p w:rsidR="00000000" w:rsidRDefault="001D19B7">
      <w:pPr>
        <w:pStyle w:val="Default"/>
        <w:spacing w:after="36"/>
        <w:jc w:val="both"/>
      </w:pPr>
      <w:r>
        <w:rPr>
          <w:sz w:val="20"/>
        </w:rPr>
        <w:t>b. Definisce l’oggetto della prestazione, che sarà comunque di natura temporanea, in funzione degli o</w:t>
      </w:r>
      <w:r>
        <w:rPr>
          <w:sz w:val="20"/>
        </w:rPr>
        <w:t xml:space="preserve">biettivi del progetto specifico deliberato dal collegio dei docenti; </w:t>
      </w:r>
    </w:p>
    <w:p w:rsidR="00000000" w:rsidRDefault="001D19B7">
      <w:pPr>
        <w:pStyle w:val="Default"/>
        <w:jc w:val="both"/>
      </w:pPr>
      <w:r>
        <w:rPr>
          <w:sz w:val="20"/>
        </w:rPr>
        <w:t xml:space="preserve">c. Determina, in coerenza con le disponibilità finanziarie la durata e il compenso della collaborazione individuata nel punto b. </w:t>
      </w:r>
    </w:p>
    <w:p w:rsidR="00000000" w:rsidRDefault="001D19B7">
      <w:pPr>
        <w:pStyle w:val="Default"/>
        <w:rPr>
          <w:sz w:val="20"/>
        </w:rPr>
      </w:pPr>
    </w:p>
    <w:p w:rsidR="00000000" w:rsidRDefault="001D19B7">
      <w:pPr>
        <w:pStyle w:val="Default"/>
      </w:pPr>
      <w:r>
        <w:rPr>
          <w:b/>
          <w:sz w:val="20"/>
        </w:rPr>
        <w:t>Art. 3 – pubblicazione avviso di selezione e partecipaz</w:t>
      </w:r>
      <w:r>
        <w:rPr>
          <w:b/>
          <w:sz w:val="20"/>
        </w:rPr>
        <w:t xml:space="preserve">ione alla selezione </w:t>
      </w:r>
    </w:p>
    <w:p w:rsidR="00000000" w:rsidRDefault="001D19B7">
      <w:pPr>
        <w:pStyle w:val="Default"/>
        <w:spacing w:after="36"/>
        <w:jc w:val="both"/>
      </w:pPr>
      <w:r>
        <w:rPr>
          <w:sz w:val="20"/>
        </w:rPr>
        <w:t>1. Il dirigente scolastico dà informazione dell’avviso di selezione tramite pubblicazione all’albo ufficiale della scuola, sul sito web dell’istituzione scolastica per 15 gg. consecutivi e inviando il bando alle scuole viciniori per l’</w:t>
      </w:r>
      <w:r>
        <w:rPr>
          <w:sz w:val="20"/>
        </w:rPr>
        <w:t xml:space="preserve">affissione all’albo. </w:t>
      </w:r>
    </w:p>
    <w:p w:rsidR="00000000" w:rsidRDefault="001D19B7">
      <w:pPr>
        <w:pStyle w:val="Default"/>
        <w:jc w:val="both"/>
      </w:pPr>
      <w:r>
        <w:rPr>
          <w:sz w:val="20"/>
        </w:rPr>
        <w:t xml:space="preserve">2. Nell’avviso deve essere indicato: </w:t>
      </w:r>
    </w:p>
    <w:p w:rsidR="00000000" w:rsidRDefault="001D19B7">
      <w:pPr>
        <w:pStyle w:val="Default"/>
        <w:numPr>
          <w:ilvl w:val="0"/>
          <w:numId w:val="2"/>
        </w:numPr>
        <w:tabs>
          <w:tab w:val="left" w:pos="720"/>
        </w:tabs>
        <w:spacing w:after="36"/>
        <w:ind w:left="720" w:hanging="360"/>
        <w:jc w:val="both"/>
      </w:pPr>
      <w:r>
        <w:rPr>
          <w:sz w:val="20"/>
        </w:rPr>
        <w:t xml:space="preserve">L’ambito disciplinare di riferimento (tipo di corso e/o progetto da attivare) </w:t>
      </w:r>
    </w:p>
    <w:p w:rsidR="00000000" w:rsidRDefault="001D19B7">
      <w:pPr>
        <w:pStyle w:val="Default"/>
        <w:numPr>
          <w:ilvl w:val="0"/>
          <w:numId w:val="2"/>
        </w:numPr>
        <w:tabs>
          <w:tab w:val="left" w:pos="720"/>
        </w:tabs>
        <w:spacing w:after="36"/>
        <w:ind w:left="720" w:hanging="360"/>
        <w:jc w:val="both"/>
      </w:pPr>
      <w:r>
        <w:rPr>
          <w:sz w:val="20"/>
        </w:rPr>
        <w:t xml:space="preserve">La durata del contratto: numero di ore presunto, date d’inizio e conclusione della prestazione </w:t>
      </w:r>
    </w:p>
    <w:p w:rsidR="00000000" w:rsidRDefault="001D19B7">
      <w:pPr>
        <w:pStyle w:val="Default"/>
        <w:numPr>
          <w:ilvl w:val="0"/>
          <w:numId w:val="2"/>
        </w:numPr>
        <w:tabs>
          <w:tab w:val="left" w:pos="720"/>
        </w:tabs>
        <w:spacing w:after="36"/>
        <w:ind w:left="720" w:hanging="360"/>
        <w:jc w:val="both"/>
      </w:pPr>
      <w:r>
        <w:rPr>
          <w:sz w:val="20"/>
        </w:rPr>
        <w:t>Le modalità e il term</w:t>
      </w:r>
      <w:r>
        <w:rPr>
          <w:sz w:val="20"/>
        </w:rPr>
        <w:t xml:space="preserve">ine di presentazione della domanda </w:t>
      </w:r>
    </w:p>
    <w:p w:rsidR="00000000" w:rsidRDefault="001D19B7">
      <w:pPr>
        <w:pStyle w:val="Default"/>
        <w:numPr>
          <w:ilvl w:val="0"/>
          <w:numId w:val="2"/>
        </w:numPr>
        <w:tabs>
          <w:tab w:val="left" w:pos="720"/>
        </w:tabs>
        <w:spacing w:after="36"/>
        <w:ind w:left="720" w:hanging="360"/>
        <w:jc w:val="both"/>
      </w:pPr>
      <w:r>
        <w:rPr>
          <w:sz w:val="20"/>
        </w:rPr>
        <w:t xml:space="preserve">I criteri d’individuazione </w:t>
      </w:r>
    </w:p>
    <w:p w:rsidR="00000000" w:rsidRDefault="001D19B7">
      <w:pPr>
        <w:pStyle w:val="Default"/>
        <w:numPr>
          <w:ilvl w:val="0"/>
          <w:numId w:val="2"/>
        </w:numPr>
        <w:tabs>
          <w:tab w:val="left" w:pos="720"/>
        </w:tabs>
        <w:ind w:left="720" w:hanging="360"/>
        <w:jc w:val="both"/>
      </w:pPr>
      <w:r>
        <w:rPr>
          <w:sz w:val="20"/>
        </w:rPr>
        <w:t xml:space="preserve">Il corrispettivo massimo proposto per la prestazione </w:t>
      </w:r>
    </w:p>
    <w:p w:rsidR="00000000" w:rsidRDefault="001D19B7">
      <w:pPr>
        <w:pStyle w:val="Default"/>
        <w:spacing w:after="36"/>
        <w:jc w:val="both"/>
      </w:pPr>
      <w:r>
        <w:rPr>
          <w:sz w:val="20"/>
        </w:rPr>
        <w:t>3. I candidati presentano domanda di partecipazione alla selezione nel termine stabilito nell’avviso di selezione, compilando l’unito modu</w:t>
      </w:r>
      <w:r>
        <w:rPr>
          <w:sz w:val="20"/>
        </w:rPr>
        <w:t xml:space="preserve">lo di domanda, allegando il proprio curriculum e qualsiasi altra </w:t>
      </w:r>
      <w:r>
        <w:rPr>
          <w:sz w:val="20"/>
        </w:rPr>
        <w:lastRenderedPageBreak/>
        <w:t xml:space="preserve">documentazione utile alla valutazione, formulando anche una proposta di compenso comprensiva di tutti gli oneri. </w:t>
      </w:r>
    </w:p>
    <w:p w:rsidR="00000000" w:rsidRDefault="001D19B7">
      <w:pPr>
        <w:pStyle w:val="Default"/>
        <w:jc w:val="both"/>
      </w:pPr>
      <w:r>
        <w:rPr>
          <w:sz w:val="20"/>
        </w:rPr>
        <w:t>4. L’istituto scolastico si riserva il diritto di invitare tra gli altri anch</w:t>
      </w:r>
      <w:r>
        <w:rPr>
          <w:sz w:val="20"/>
        </w:rPr>
        <w:t>e esperti e/o associazioni di comprovata esperienza o qualità formativa di cui abbia avuto testimonianza in precedenti collaborazioni con l’istituto.</w:t>
      </w:r>
    </w:p>
    <w:p w:rsidR="00000000" w:rsidRDefault="001D19B7">
      <w:pPr>
        <w:pStyle w:val="Default"/>
        <w:jc w:val="both"/>
      </w:pPr>
      <w:r>
        <w:rPr>
          <w:b/>
          <w:sz w:val="20"/>
        </w:rPr>
        <w:t xml:space="preserve">Art. 4 – criteri selezione titoli </w:t>
      </w:r>
    </w:p>
    <w:p w:rsidR="00000000" w:rsidRDefault="001D19B7">
      <w:pPr>
        <w:pStyle w:val="Default"/>
        <w:jc w:val="both"/>
      </w:pPr>
      <w:r>
        <w:rPr>
          <w:rFonts w:ascii="Verdana" w:hAnsi="Verdana" w:cs="Verdana"/>
          <w:sz w:val="20"/>
        </w:rPr>
        <w:t xml:space="preserve">1. </w:t>
      </w:r>
      <w:r>
        <w:rPr>
          <w:sz w:val="20"/>
        </w:rPr>
        <w:t>I candidati per concorrere al conferimento dell’incarico devono poss</w:t>
      </w:r>
      <w:r>
        <w:rPr>
          <w:sz w:val="20"/>
        </w:rPr>
        <w:t>edere quale titolo di studio la laurea. Si prescinde da questo requisito solo in caso di stipulazione di contratti d’opera per attività che devono essere svolti da professionisti iscritti in ordini o albi o con soggetti che operano nel campo dell’arte, del</w:t>
      </w:r>
      <w:r>
        <w:rPr>
          <w:sz w:val="20"/>
        </w:rPr>
        <w:t xml:space="preserve">lo spettacolo o dei mestieri artigianali, ferma restando la necessità di accertare la maturata esperienza nel settore. </w:t>
      </w:r>
    </w:p>
    <w:p w:rsidR="00000000" w:rsidRDefault="001D19B7">
      <w:pPr>
        <w:pStyle w:val="Default"/>
        <w:jc w:val="both"/>
        <w:rPr>
          <w:sz w:val="20"/>
        </w:rPr>
      </w:pPr>
    </w:p>
    <w:p w:rsidR="00000000" w:rsidRDefault="001D19B7">
      <w:pPr>
        <w:pStyle w:val="Default"/>
        <w:jc w:val="both"/>
      </w:pPr>
      <w:r>
        <w:rPr>
          <w:sz w:val="20"/>
        </w:rPr>
        <w:t>Il requisito della particolare e comprovata specializzazione universitaria non è applicabile rispetto ai contratti eventualmente da sti</w:t>
      </w:r>
      <w:r>
        <w:rPr>
          <w:sz w:val="20"/>
        </w:rPr>
        <w:t xml:space="preserve">pulare con una società o una associazione esterna. </w:t>
      </w:r>
    </w:p>
    <w:p w:rsidR="00000000" w:rsidRDefault="001D19B7">
      <w:pPr>
        <w:pStyle w:val="Default"/>
        <w:jc w:val="both"/>
      </w:pPr>
      <w:r>
        <w:rPr>
          <w:sz w:val="20"/>
        </w:rPr>
        <w:t xml:space="preserve">Nel caso di Associazioni o Società, il Legale rappresentante indica il componenente o i componenti che assicureranno l’effettiva prestazione. </w:t>
      </w:r>
    </w:p>
    <w:p w:rsidR="00000000" w:rsidRDefault="001D19B7">
      <w:pPr>
        <w:pStyle w:val="Default"/>
        <w:jc w:val="both"/>
      </w:pPr>
      <w:r>
        <w:rPr>
          <w:sz w:val="20"/>
        </w:rPr>
        <w:t xml:space="preserve">In tali circostanze tuttavia l’Istitutzione scolastica dovrà </w:t>
      </w:r>
      <w:r>
        <w:rPr>
          <w:sz w:val="20"/>
        </w:rPr>
        <w:t xml:space="preserve">pretendere che vengano comunicati i nominativi e consegnati i curricula vitae et studio rum dei soggetti che la società o l’associazione indicheranno per la prestazione. </w:t>
      </w:r>
    </w:p>
    <w:p w:rsidR="00000000" w:rsidRDefault="001D19B7">
      <w:pPr>
        <w:pStyle w:val="Default"/>
        <w:jc w:val="both"/>
      </w:pPr>
      <w:r>
        <w:rPr>
          <w:rFonts w:ascii="Verdana" w:hAnsi="Verdana" w:cs="Verdana"/>
          <w:sz w:val="20"/>
        </w:rPr>
        <w:t xml:space="preserve">2. </w:t>
      </w:r>
      <w:r>
        <w:rPr>
          <w:sz w:val="20"/>
        </w:rPr>
        <w:t>Si valuteranno o candidati secondo l’allegata tabella:</w:t>
      </w:r>
    </w:p>
    <w:p w:rsidR="00000000" w:rsidRDefault="001D19B7">
      <w:pPr>
        <w:pStyle w:val="Default"/>
        <w:jc w:val="both"/>
      </w:pPr>
    </w:p>
    <w:tbl>
      <w:tblPr>
        <w:tblW w:w="0" w:type="auto"/>
        <w:tblInd w:w="50" w:type="dxa"/>
        <w:tblLayout w:type="fixed"/>
        <w:tblCellMar>
          <w:left w:w="70" w:type="dxa"/>
          <w:right w:w="70" w:type="dxa"/>
        </w:tblCellMar>
        <w:tblLook w:val="0000" w:firstRow="0" w:lastRow="0" w:firstColumn="0" w:lastColumn="0" w:noHBand="0" w:noVBand="0"/>
      </w:tblPr>
      <w:tblGrid>
        <w:gridCol w:w="765"/>
        <w:gridCol w:w="765"/>
        <w:gridCol w:w="661"/>
        <w:gridCol w:w="661"/>
        <w:gridCol w:w="661"/>
        <w:gridCol w:w="661"/>
        <w:gridCol w:w="662"/>
        <w:gridCol w:w="1986"/>
        <w:gridCol w:w="3028"/>
        <w:gridCol w:w="10"/>
      </w:tblGrid>
      <w:tr w:rsidR="00000000">
        <w:trPr>
          <w:gridAfter w:val="1"/>
          <w:wAfter w:w="10" w:type="dxa"/>
          <w:trHeight w:val="315"/>
        </w:trPr>
        <w:tc>
          <w:tcPr>
            <w:tcW w:w="985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000000" w:rsidRDefault="001D19B7">
            <w:pPr>
              <w:suppressAutoHyphens w:val="0"/>
              <w:jc w:val="center"/>
            </w:pPr>
            <w:r>
              <w:rPr>
                <w:rFonts w:ascii="Arial" w:hAnsi="Arial" w:cs="Arial"/>
                <w:b/>
                <w:bCs/>
                <w:lang w:eastAsia="it-IT"/>
              </w:rPr>
              <w:t>GRIGLIA DI VALUTAZIONE DEL</w:t>
            </w:r>
            <w:r>
              <w:rPr>
                <w:rFonts w:ascii="Arial" w:hAnsi="Arial" w:cs="Arial"/>
                <w:b/>
                <w:bCs/>
                <w:lang w:eastAsia="it-IT"/>
              </w:rPr>
              <w:t xml:space="preserve"> PERSONALE ESTERNO</w:t>
            </w:r>
          </w:p>
        </w:tc>
      </w:tr>
      <w:tr w:rsidR="00000000">
        <w:trPr>
          <w:gridAfter w:val="1"/>
          <w:wAfter w:w="10" w:type="dxa"/>
          <w:trHeight w:val="255"/>
        </w:trPr>
        <w:tc>
          <w:tcPr>
            <w:tcW w:w="985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000000" w:rsidRDefault="001D19B7">
            <w:pPr>
              <w:suppressAutoHyphens w:val="0"/>
            </w:pPr>
            <w:r>
              <w:rPr>
                <w:rFonts w:ascii="Arial" w:hAnsi="Arial" w:cs="Arial"/>
                <w:b/>
                <w:bCs/>
                <w:lang w:eastAsia="it-IT"/>
              </w:rPr>
              <w:t>1) Titoli di studio, specializzazioni, corsi di agg.to, master e titoli specifici - max 40 Pt.</w:t>
            </w:r>
          </w:p>
        </w:tc>
      </w:tr>
      <w:tr w:rsidR="00000000">
        <w:trPr>
          <w:gridAfter w:val="1"/>
          <w:wAfter w:w="10" w:type="dxa"/>
          <w:trHeight w:val="255"/>
        </w:trPr>
        <w:tc>
          <w:tcPr>
            <w:tcW w:w="765" w:type="dxa"/>
            <w:shd w:val="clear" w:color="auto" w:fill="auto"/>
            <w:vAlign w:val="bottom"/>
          </w:tcPr>
          <w:p w:rsidR="00000000" w:rsidRDefault="001D19B7">
            <w:pPr>
              <w:suppressAutoHyphens w:val="0"/>
              <w:snapToGrid w:val="0"/>
              <w:rPr>
                <w:rFonts w:ascii="Arial" w:hAnsi="Arial" w:cs="Arial"/>
                <w:b/>
                <w:bCs/>
                <w:lang w:eastAsia="it-IT"/>
              </w:rPr>
            </w:pPr>
          </w:p>
        </w:tc>
        <w:tc>
          <w:tcPr>
            <w:tcW w:w="765"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2" w:type="dxa"/>
            <w:shd w:val="clear" w:color="auto" w:fill="auto"/>
            <w:vAlign w:val="bottom"/>
          </w:tcPr>
          <w:p w:rsidR="00000000" w:rsidRDefault="001D19B7">
            <w:pPr>
              <w:suppressAutoHyphens w:val="0"/>
              <w:snapToGrid w:val="0"/>
              <w:rPr>
                <w:rFonts w:ascii="Arial" w:hAnsi="Arial" w:cs="Arial"/>
                <w:lang w:eastAsia="it-IT"/>
              </w:rPr>
            </w:pPr>
          </w:p>
        </w:tc>
        <w:tc>
          <w:tcPr>
            <w:tcW w:w="1986" w:type="dxa"/>
            <w:shd w:val="clear" w:color="auto" w:fill="auto"/>
            <w:vAlign w:val="bottom"/>
          </w:tcPr>
          <w:p w:rsidR="00000000" w:rsidRDefault="001D19B7">
            <w:pPr>
              <w:suppressAutoHyphens w:val="0"/>
              <w:snapToGrid w:val="0"/>
              <w:rPr>
                <w:rFonts w:ascii="Arial" w:hAnsi="Arial" w:cs="Arial"/>
                <w:lang w:eastAsia="it-IT"/>
              </w:rPr>
            </w:pPr>
          </w:p>
        </w:tc>
        <w:tc>
          <w:tcPr>
            <w:tcW w:w="3028" w:type="dxa"/>
            <w:shd w:val="clear" w:color="auto" w:fill="auto"/>
            <w:vAlign w:val="bottom"/>
          </w:tcPr>
          <w:p w:rsidR="00000000" w:rsidRDefault="001D19B7">
            <w:pPr>
              <w:suppressAutoHyphens w:val="0"/>
              <w:snapToGrid w:val="0"/>
              <w:rPr>
                <w:rFonts w:ascii="Arial" w:hAnsi="Arial" w:cs="Arial"/>
                <w:lang w:eastAsia="it-IT"/>
              </w:rPr>
            </w:pPr>
          </w:p>
        </w:tc>
      </w:tr>
      <w:tr w:rsidR="00000000">
        <w:trPr>
          <w:cantSplit/>
          <w:trHeight w:val="255"/>
        </w:trPr>
        <w:tc>
          <w:tcPr>
            <w:tcW w:w="1530" w:type="dxa"/>
            <w:gridSpan w:val="2"/>
            <w:vMerge w:val="restart"/>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jc w:val="center"/>
            </w:pPr>
            <w:r>
              <w:rPr>
                <w:rFonts w:ascii="Arial" w:hAnsi="Arial" w:cs="Arial"/>
                <w:lang w:eastAsia="it-IT"/>
              </w:rPr>
              <w:t>Titolo di Studio (max 12 punti)</w:t>
            </w: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Diploma di istruzione secondaria attinente all'area progettuale</w:t>
            </w:r>
          </w:p>
        </w:tc>
        <w:tc>
          <w:tcPr>
            <w:tcW w:w="1986" w:type="dxa"/>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4</w:t>
            </w:r>
          </w:p>
        </w:tc>
        <w:tc>
          <w:tcPr>
            <w:tcW w:w="30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D19B7">
            <w:pPr>
              <w:suppressAutoHyphens w:val="0"/>
              <w:jc w:val="center"/>
            </w:pPr>
            <w:r>
              <w:rPr>
                <w:rFonts w:ascii="Arial" w:hAnsi="Arial" w:cs="Arial"/>
                <w:sz w:val="16"/>
                <w:szCs w:val="16"/>
                <w:lang w:eastAsia="it-IT"/>
              </w:rPr>
              <w:t>Si valuta un solo titolo</w:t>
            </w:r>
          </w:p>
        </w:tc>
      </w:tr>
      <w:tr w:rsidR="00000000">
        <w:trPr>
          <w:cantSplit/>
          <w:trHeight w:val="2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Laurea non specifica</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6</w:t>
            </w:r>
          </w:p>
        </w:tc>
        <w:tc>
          <w:tcPr>
            <w:tcW w:w="30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r>
      <w:tr w:rsidR="00000000">
        <w:trPr>
          <w:cantSplit/>
          <w:trHeight w:val="2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Laurea specifica attinente il progetto - votazione fino a 100</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8</w:t>
            </w:r>
          </w:p>
        </w:tc>
        <w:tc>
          <w:tcPr>
            <w:tcW w:w="30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r>
      <w:tr w:rsidR="00000000">
        <w:trPr>
          <w:cantSplit/>
          <w:trHeight w:val="2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Laurea specifica attinente il progetto - votazione da 101 a 110</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10</w:t>
            </w:r>
          </w:p>
        </w:tc>
        <w:tc>
          <w:tcPr>
            <w:tcW w:w="30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r>
      <w:tr w:rsidR="00000000">
        <w:trPr>
          <w:cantSplit/>
          <w:trHeight w:val="2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Laurea specifica attinente il progetto - votazione con lode</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12</w:t>
            </w:r>
          </w:p>
        </w:tc>
        <w:tc>
          <w:tcPr>
            <w:tcW w:w="30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r>
      <w:tr w:rsidR="00000000">
        <w:trPr>
          <w:cantSplit/>
          <w:trHeight w:val="255"/>
        </w:trPr>
        <w:tc>
          <w:tcPr>
            <w:tcW w:w="1530" w:type="dxa"/>
            <w:gridSpan w:val="2"/>
            <w:vMerge w:val="restart"/>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jc w:val="center"/>
            </w:pPr>
            <w:r>
              <w:rPr>
                <w:rFonts w:ascii="Arial" w:hAnsi="Arial" w:cs="Arial"/>
                <w:lang w:eastAsia="it-IT"/>
              </w:rPr>
              <w:t>Alt</w:t>
            </w:r>
            <w:r>
              <w:rPr>
                <w:rFonts w:ascii="Arial" w:hAnsi="Arial" w:cs="Arial"/>
                <w:lang w:eastAsia="it-IT"/>
              </w:rPr>
              <w:t>ri titoli e specializzazioni (max 28 Punti)</w:t>
            </w: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Master Universitari</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6</w:t>
            </w:r>
          </w:p>
        </w:tc>
        <w:tc>
          <w:tcPr>
            <w:tcW w:w="3038"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Max 3 titoli</w:t>
            </w:r>
          </w:p>
        </w:tc>
      </w:tr>
      <w:tr w:rsidR="00000000">
        <w:trPr>
          <w:cantSplit/>
          <w:trHeight w:val="2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Inserimento graduatorie di merito concorsi PP.AA.</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4</w:t>
            </w:r>
          </w:p>
        </w:tc>
        <w:tc>
          <w:tcPr>
            <w:tcW w:w="3038"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Max 1 titolo</w:t>
            </w:r>
          </w:p>
        </w:tc>
      </w:tr>
      <w:tr w:rsidR="00000000">
        <w:trPr>
          <w:cantSplit/>
          <w:trHeight w:val="2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ECDL base o titoli equivalenti attinenti all'area progettuale di rif.</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2</w:t>
            </w:r>
          </w:p>
        </w:tc>
        <w:tc>
          <w:tcPr>
            <w:tcW w:w="3038"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Max 1 titolo</w:t>
            </w:r>
          </w:p>
        </w:tc>
      </w:tr>
      <w:tr w:rsidR="00000000">
        <w:trPr>
          <w:cantSplit/>
          <w:trHeight w:val="2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6"/>
                <w:szCs w:val="16"/>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ECD</w:t>
            </w:r>
            <w:r>
              <w:rPr>
                <w:rFonts w:ascii="Arial" w:hAnsi="Arial" w:cs="Arial"/>
                <w:sz w:val="16"/>
                <w:szCs w:val="16"/>
                <w:lang w:eastAsia="it-IT"/>
              </w:rPr>
              <w:t>L advance o titoli equivalenti attinenti all'area progettuale rif.</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4</w:t>
            </w:r>
          </w:p>
        </w:tc>
        <w:tc>
          <w:tcPr>
            <w:tcW w:w="3038"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Max 1 titolo</w:t>
            </w:r>
          </w:p>
        </w:tc>
      </w:tr>
      <w:tr w:rsidR="00000000">
        <w:trPr>
          <w:gridAfter w:val="1"/>
          <w:wAfter w:w="10" w:type="dxa"/>
          <w:trHeight w:val="255"/>
        </w:trPr>
        <w:tc>
          <w:tcPr>
            <w:tcW w:w="765"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sz w:val="16"/>
                <w:szCs w:val="16"/>
                <w:lang w:eastAsia="it-IT"/>
              </w:rPr>
            </w:pPr>
          </w:p>
        </w:tc>
        <w:tc>
          <w:tcPr>
            <w:tcW w:w="765"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c>
          <w:tcPr>
            <w:tcW w:w="3306" w:type="dxa"/>
            <w:gridSpan w:val="5"/>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sz w:val="16"/>
                <w:szCs w:val="16"/>
                <w:lang w:eastAsia="it-IT"/>
              </w:rPr>
            </w:pPr>
          </w:p>
        </w:tc>
        <w:tc>
          <w:tcPr>
            <w:tcW w:w="1986"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sz w:val="16"/>
                <w:szCs w:val="16"/>
                <w:lang w:eastAsia="it-IT"/>
              </w:rPr>
            </w:pPr>
          </w:p>
        </w:tc>
        <w:tc>
          <w:tcPr>
            <w:tcW w:w="3028" w:type="dxa"/>
            <w:tcBorders>
              <w:top w:val="none" w:sz="0" w:space="0" w:color="000000"/>
              <w:left w:val="none" w:sz="0" w:space="0" w:color="000000"/>
              <w:bottom w:val="none" w:sz="0" w:space="0" w:color="000000"/>
              <w:right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r>
      <w:tr w:rsidR="00000000">
        <w:trPr>
          <w:gridAfter w:val="1"/>
          <w:wAfter w:w="10" w:type="dxa"/>
          <w:trHeight w:val="255"/>
        </w:trPr>
        <w:tc>
          <w:tcPr>
            <w:tcW w:w="6822" w:type="dxa"/>
            <w:gridSpan w:val="8"/>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pPr>
            <w:r>
              <w:rPr>
                <w:rFonts w:ascii="Arial" w:hAnsi="Arial" w:cs="Arial"/>
                <w:b/>
                <w:bCs/>
                <w:lang w:eastAsia="it-IT"/>
              </w:rPr>
              <w:t>2) Attività professionali coerenti con l'area progettuale specifica - max 30 Pt.</w:t>
            </w:r>
          </w:p>
        </w:tc>
        <w:tc>
          <w:tcPr>
            <w:tcW w:w="3028" w:type="dxa"/>
            <w:tcBorders>
              <w:top w:val="none" w:sz="0" w:space="0" w:color="000000"/>
              <w:left w:val="none" w:sz="0" w:space="0" w:color="000000"/>
              <w:bottom w:val="none" w:sz="0" w:space="0" w:color="000000"/>
              <w:right w:val="none" w:sz="0" w:space="0" w:color="000000"/>
            </w:tcBorders>
            <w:shd w:val="clear" w:color="auto" w:fill="auto"/>
            <w:vAlign w:val="bottom"/>
          </w:tcPr>
          <w:p w:rsidR="00000000" w:rsidRDefault="001D19B7">
            <w:pPr>
              <w:suppressAutoHyphens w:val="0"/>
              <w:snapToGrid w:val="0"/>
              <w:rPr>
                <w:rFonts w:ascii="Arial" w:hAnsi="Arial" w:cs="Arial"/>
                <w:b/>
                <w:bCs/>
                <w:lang w:eastAsia="it-IT"/>
              </w:rPr>
            </w:pPr>
          </w:p>
        </w:tc>
      </w:tr>
      <w:tr w:rsidR="00000000">
        <w:trPr>
          <w:gridAfter w:val="1"/>
          <w:wAfter w:w="10" w:type="dxa"/>
          <w:trHeight w:val="255"/>
        </w:trPr>
        <w:tc>
          <w:tcPr>
            <w:tcW w:w="765" w:type="dxa"/>
            <w:shd w:val="clear" w:color="auto" w:fill="auto"/>
            <w:vAlign w:val="bottom"/>
          </w:tcPr>
          <w:p w:rsidR="00000000" w:rsidRDefault="001D19B7">
            <w:pPr>
              <w:suppressAutoHyphens w:val="0"/>
              <w:snapToGrid w:val="0"/>
              <w:rPr>
                <w:rFonts w:ascii="Arial" w:hAnsi="Arial" w:cs="Arial"/>
                <w:lang w:eastAsia="it-IT"/>
              </w:rPr>
            </w:pPr>
          </w:p>
        </w:tc>
        <w:tc>
          <w:tcPr>
            <w:tcW w:w="765"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2" w:type="dxa"/>
            <w:shd w:val="clear" w:color="auto" w:fill="auto"/>
            <w:vAlign w:val="bottom"/>
          </w:tcPr>
          <w:p w:rsidR="00000000" w:rsidRDefault="001D19B7">
            <w:pPr>
              <w:suppressAutoHyphens w:val="0"/>
              <w:snapToGrid w:val="0"/>
              <w:rPr>
                <w:rFonts w:ascii="Arial" w:hAnsi="Arial" w:cs="Arial"/>
                <w:lang w:eastAsia="it-IT"/>
              </w:rPr>
            </w:pPr>
          </w:p>
        </w:tc>
        <w:tc>
          <w:tcPr>
            <w:tcW w:w="1986" w:type="dxa"/>
            <w:shd w:val="clear" w:color="auto" w:fill="auto"/>
            <w:vAlign w:val="bottom"/>
          </w:tcPr>
          <w:p w:rsidR="00000000" w:rsidRDefault="001D19B7">
            <w:pPr>
              <w:suppressAutoHyphens w:val="0"/>
              <w:snapToGrid w:val="0"/>
              <w:rPr>
                <w:rFonts w:ascii="Arial" w:hAnsi="Arial" w:cs="Arial"/>
                <w:lang w:eastAsia="it-IT"/>
              </w:rPr>
            </w:pPr>
          </w:p>
        </w:tc>
        <w:tc>
          <w:tcPr>
            <w:tcW w:w="3028" w:type="dxa"/>
            <w:shd w:val="clear" w:color="auto" w:fill="auto"/>
            <w:vAlign w:val="bottom"/>
          </w:tcPr>
          <w:p w:rsidR="00000000" w:rsidRDefault="001D19B7">
            <w:pPr>
              <w:suppressAutoHyphens w:val="0"/>
              <w:snapToGrid w:val="0"/>
              <w:rPr>
                <w:rFonts w:ascii="Arial" w:hAnsi="Arial" w:cs="Arial"/>
                <w:lang w:eastAsia="it-IT"/>
              </w:rPr>
            </w:pPr>
          </w:p>
        </w:tc>
      </w:tr>
      <w:tr w:rsidR="00000000">
        <w:trPr>
          <w:cantSplit/>
          <w:trHeight w:val="555"/>
        </w:trPr>
        <w:tc>
          <w:tcPr>
            <w:tcW w:w="1530" w:type="dxa"/>
            <w:gridSpan w:val="2"/>
            <w:vMerge w:val="restart"/>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jc w:val="center"/>
            </w:pPr>
            <w:r>
              <w:rPr>
                <w:rFonts w:ascii="Arial" w:hAnsi="Arial" w:cs="Arial"/>
                <w:lang w:eastAsia="it-IT"/>
              </w:rPr>
              <w:t>Esperienze professionali specifiche (max 30 pt)</w:t>
            </w: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Attività professiona</w:t>
            </w:r>
            <w:r>
              <w:rPr>
                <w:rFonts w:ascii="Arial" w:hAnsi="Arial" w:cs="Arial"/>
                <w:sz w:val="16"/>
                <w:szCs w:val="16"/>
                <w:lang w:eastAsia="it-IT"/>
              </w:rPr>
              <w:t>le coerente con progetto</w:t>
            </w:r>
          </w:p>
        </w:tc>
        <w:tc>
          <w:tcPr>
            <w:tcW w:w="1986" w:type="dxa"/>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5</w:t>
            </w:r>
          </w:p>
        </w:tc>
        <w:tc>
          <w:tcPr>
            <w:tcW w:w="30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4"/>
                <w:szCs w:val="14"/>
                <w:lang w:eastAsia="it-IT"/>
              </w:rPr>
              <w:t>Punti 5 per anno fino a max 2 anni</w:t>
            </w:r>
          </w:p>
        </w:tc>
      </w:tr>
      <w:tr w:rsidR="00000000">
        <w:trPr>
          <w:cantSplit/>
          <w:trHeight w:val="5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4"/>
                <w:szCs w:val="14"/>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Esperienze professionali in progetti UE (FSE, FSER, PON POR)</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3</w:t>
            </w:r>
          </w:p>
        </w:tc>
        <w:tc>
          <w:tcPr>
            <w:tcW w:w="3038"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4"/>
                <w:szCs w:val="14"/>
                <w:lang w:eastAsia="it-IT"/>
              </w:rPr>
              <w:t>Punti 3 per anno fino a max 4</w:t>
            </w:r>
          </w:p>
        </w:tc>
      </w:tr>
      <w:tr w:rsidR="00000000">
        <w:trPr>
          <w:cantSplit/>
          <w:trHeight w:val="5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4"/>
                <w:szCs w:val="14"/>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Attività di Formatore inerente il progetto</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2</w:t>
            </w:r>
          </w:p>
        </w:tc>
        <w:tc>
          <w:tcPr>
            <w:tcW w:w="3038"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4"/>
                <w:szCs w:val="14"/>
                <w:lang w:eastAsia="it-IT"/>
              </w:rPr>
              <w:t>Punti 2 per anno fino a max 4</w:t>
            </w:r>
          </w:p>
        </w:tc>
      </w:tr>
      <w:tr w:rsidR="00000000">
        <w:trPr>
          <w:cantSplit/>
          <w:trHeight w:val="255"/>
        </w:trPr>
        <w:tc>
          <w:tcPr>
            <w:tcW w:w="1530" w:type="dxa"/>
            <w:gridSpan w:val="2"/>
            <w:vMerge/>
            <w:tcBorders>
              <w:top w:val="single" w:sz="4" w:space="0" w:color="000000"/>
              <w:left w:val="single" w:sz="4" w:space="0" w:color="000000"/>
              <w:bottom w:val="single" w:sz="4" w:space="0" w:color="000000"/>
            </w:tcBorders>
            <w:shd w:val="clear" w:color="auto" w:fill="auto"/>
            <w:vAlign w:val="center"/>
          </w:tcPr>
          <w:p w:rsidR="00000000" w:rsidRDefault="001D19B7">
            <w:pPr>
              <w:suppressAutoHyphens w:val="0"/>
              <w:snapToGrid w:val="0"/>
              <w:rPr>
                <w:rFonts w:ascii="Arial" w:hAnsi="Arial" w:cs="Arial"/>
                <w:sz w:val="14"/>
                <w:szCs w:val="14"/>
                <w:lang w:eastAsia="it-IT"/>
              </w:rPr>
            </w:pP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 </w:t>
            </w:r>
          </w:p>
        </w:tc>
        <w:tc>
          <w:tcPr>
            <w:tcW w:w="1986" w:type="dxa"/>
            <w:tcBorders>
              <w:top w:val="none" w:sz="0"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 </w:t>
            </w:r>
          </w:p>
        </w:tc>
        <w:tc>
          <w:tcPr>
            <w:tcW w:w="3038"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 </w:t>
            </w:r>
          </w:p>
        </w:tc>
      </w:tr>
      <w:tr w:rsidR="00000000">
        <w:trPr>
          <w:gridAfter w:val="1"/>
          <w:wAfter w:w="10" w:type="dxa"/>
          <w:trHeight w:val="255"/>
        </w:trPr>
        <w:tc>
          <w:tcPr>
            <w:tcW w:w="765" w:type="dxa"/>
            <w:shd w:val="clear" w:color="auto" w:fill="auto"/>
            <w:vAlign w:val="bottom"/>
          </w:tcPr>
          <w:p w:rsidR="00000000" w:rsidRDefault="001D19B7">
            <w:pPr>
              <w:suppressAutoHyphens w:val="0"/>
              <w:snapToGrid w:val="0"/>
              <w:rPr>
                <w:rFonts w:ascii="Arial" w:hAnsi="Arial" w:cs="Arial"/>
                <w:sz w:val="16"/>
                <w:szCs w:val="16"/>
                <w:lang w:eastAsia="it-IT"/>
              </w:rPr>
            </w:pPr>
          </w:p>
        </w:tc>
        <w:tc>
          <w:tcPr>
            <w:tcW w:w="765"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2" w:type="dxa"/>
            <w:shd w:val="clear" w:color="auto" w:fill="auto"/>
            <w:vAlign w:val="bottom"/>
          </w:tcPr>
          <w:p w:rsidR="00000000" w:rsidRDefault="001D19B7">
            <w:pPr>
              <w:suppressAutoHyphens w:val="0"/>
              <w:snapToGrid w:val="0"/>
              <w:rPr>
                <w:rFonts w:ascii="Arial" w:hAnsi="Arial" w:cs="Arial"/>
                <w:lang w:eastAsia="it-IT"/>
              </w:rPr>
            </w:pPr>
          </w:p>
        </w:tc>
        <w:tc>
          <w:tcPr>
            <w:tcW w:w="1986" w:type="dxa"/>
            <w:shd w:val="clear" w:color="auto" w:fill="auto"/>
            <w:vAlign w:val="bottom"/>
          </w:tcPr>
          <w:p w:rsidR="00000000" w:rsidRDefault="001D19B7">
            <w:pPr>
              <w:suppressAutoHyphens w:val="0"/>
              <w:snapToGrid w:val="0"/>
              <w:rPr>
                <w:rFonts w:ascii="Arial" w:hAnsi="Arial" w:cs="Arial"/>
                <w:lang w:eastAsia="it-IT"/>
              </w:rPr>
            </w:pPr>
          </w:p>
        </w:tc>
        <w:tc>
          <w:tcPr>
            <w:tcW w:w="3028" w:type="dxa"/>
            <w:shd w:val="clear" w:color="auto" w:fill="auto"/>
            <w:vAlign w:val="bottom"/>
          </w:tcPr>
          <w:p w:rsidR="00000000" w:rsidRDefault="001D19B7">
            <w:pPr>
              <w:suppressAutoHyphens w:val="0"/>
              <w:snapToGrid w:val="0"/>
              <w:rPr>
                <w:rFonts w:ascii="Arial" w:hAnsi="Arial" w:cs="Arial"/>
                <w:lang w:eastAsia="it-IT"/>
              </w:rPr>
            </w:pPr>
          </w:p>
        </w:tc>
      </w:tr>
      <w:tr w:rsidR="00000000">
        <w:trPr>
          <w:gridAfter w:val="1"/>
          <w:wAfter w:w="10" w:type="dxa"/>
          <w:trHeight w:val="255"/>
        </w:trPr>
        <w:tc>
          <w:tcPr>
            <w:tcW w:w="3513" w:type="dxa"/>
            <w:gridSpan w:val="5"/>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pPr>
            <w:r>
              <w:rPr>
                <w:rFonts w:ascii="Arial" w:hAnsi="Arial" w:cs="Arial"/>
                <w:b/>
                <w:bCs/>
                <w:lang w:eastAsia="it-IT"/>
              </w:rPr>
              <w:t>3) Esperienza nella gestione delle risorse umane – max 20 Punti</w:t>
            </w:r>
          </w:p>
        </w:tc>
        <w:tc>
          <w:tcPr>
            <w:tcW w:w="661"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b/>
                <w:bCs/>
                <w:lang w:eastAsia="it-IT"/>
              </w:rPr>
            </w:pPr>
          </w:p>
        </w:tc>
        <w:tc>
          <w:tcPr>
            <w:tcW w:w="662"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c>
          <w:tcPr>
            <w:tcW w:w="1986"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c>
          <w:tcPr>
            <w:tcW w:w="3028" w:type="dxa"/>
            <w:tcBorders>
              <w:top w:val="none" w:sz="0" w:space="0" w:color="000000"/>
              <w:left w:val="none" w:sz="0" w:space="0" w:color="000000"/>
              <w:bottom w:val="none" w:sz="0" w:space="0" w:color="000000"/>
              <w:right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r>
      <w:tr w:rsidR="00000000">
        <w:trPr>
          <w:gridAfter w:val="1"/>
          <w:wAfter w:w="10" w:type="dxa"/>
          <w:trHeight w:val="255"/>
        </w:trPr>
        <w:tc>
          <w:tcPr>
            <w:tcW w:w="1530" w:type="dxa"/>
            <w:gridSpan w:val="2"/>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jc w:val="center"/>
              <w:rPr>
                <w:rFonts w:ascii="Arial" w:hAnsi="Arial" w:cs="Arial"/>
                <w:lang w:eastAsia="it-IT"/>
              </w:rPr>
            </w:pPr>
          </w:p>
        </w:tc>
        <w:tc>
          <w:tcPr>
            <w:tcW w:w="3306" w:type="dxa"/>
            <w:gridSpan w:val="5"/>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jc w:val="center"/>
              <w:rPr>
                <w:rFonts w:ascii="Arial" w:hAnsi="Arial" w:cs="Arial"/>
                <w:lang w:eastAsia="it-IT"/>
              </w:rPr>
            </w:pPr>
          </w:p>
        </w:tc>
        <w:tc>
          <w:tcPr>
            <w:tcW w:w="1986"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c>
          <w:tcPr>
            <w:tcW w:w="3028" w:type="dxa"/>
            <w:tcBorders>
              <w:top w:val="none" w:sz="0" w:space="0" w:color="000000"/>
              <w:left w:val="none" w:sz="0" w:space="0" w:color="000000"/>
              <w:bottom w:val="none" w:sz="0" w:space="0" w:color="000000"/>
              <w:right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r>
      <w:tr w:rsidR="00000000">
        <w:trPr>
          <w:trHeight w:val="555"/>
        </w:trPr>
        <w:tc>
          <w:tcPr>
            <w:tcW w:w="1530" w:type="dxa"/>
            <w:gridSpan w:val="2"/>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jc w:val="center"/>
            </w:pPr>
            <w:r>
              <w:rPr>
                <w:rFonts w:ascii="Arial" w:hAnsi="Arial" w:cs="Arial"/>
                <w:lang w:eastAsia="it-IT"/>
              </w:rPr>
              <w:t>Titoli (max 20 Punti)</w:t>
            </w: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Incarichi aziendali o pubblici attinenti alla gestione delle risorse umane</w:t>
            </w:r>
          </w:p>
        </w:tc>
        <w:tc>
          <w:tcPr>
            <w:tcW w:w="1986" w:type="dxa"/>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5</w:t>
            </w:r>
          </w:p>
        </w:tc>
        <w:tc>
          <w:tcPr>
            <w:tcW w:w="30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4"/>
                <w:szCs w:val="14"/>
                <w:lang w:eastAsia="it-IT"/>
              </w:rPr>
              <w:t>Punti 5 per anno fino a max 4</w:t>
            </w:r>
          </w:p>
        </w:tc>
      </w:tr>
      <w:tr w:rsidR="00000000">
        <w:trPr>
          <w:gridAfter w:val="1"/>
          <w:wAfter w:w="10" w:type="dxa"/>
          <w:trHeight w:val="255"/>
        </w:trPr>
        <w:tc>
          <w:tcPr>
            <w:tcW w:w="765" w:type="dxa"/>
            <w:shd w:val="clear" w:color="auto" w:fill="auto"/>
            <w:vAlign w:val="bottom"/>
          </w:tcPr>
          <w:p w:rsidR="00000000" w:rsidRDefault="001D19B7">
            <w:pPr>
              <w:suppressAutoHyphens w:val="0"/>
              <w:snapToGrid w:val="0"/>
              <w:rPr>
                <w:rFonts w:ascii="Arial" w:hAnsi="Arial" w:cs="Arial"/>
                <w:sz w:val="14"/>
                <w:szCs w:val="14"/>
                <w:lang w:eastAsia="it-IT"/>
              </w:rPr>
            </w:pPr>
          </w:p>
        </w:tc>
        <w:tc>
          <w:tcPr>
            <w:tcW w:w="765"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1" w:type="dxa"/>
            <w:shd w:val="clear" w:color="auto" w:fill="auto"/>
            <w:vAlign w:val="bottom"/>
          </w:tcPr>
          <w:p w:rsidR="00000000" w:rsidRDefault="001D19B7">
            <w:pPr>
              <w:suppressAutoHyphens w:val="0"/>
              <w:snapToGrid w:val="0"/>
              <w:rPr>
                <w:rFonts w:ascii="Arial" w:hAnsi="Arial" w:cs="Arial"/>
                <w:lang w:eastAsia="it-IT"/>
              </w:rPr>
            </w:pPr>
          </w:p>
        </w:tc>
        <w:tc>
          <w:tcPr>
            <w:tcW w:w="662" w:type="dxa"/>
            <w:shd w:val="clear" w:color="auto" w:fill="auto"/>
            <w:vAlign w:val="bottom"/>
          </w:tcPr>
          <w:p w:rsidR="00000000" w:rsidRDefault="001D19B7">
            <w:pPr>
              <w:suppressAutoHyphens w:val="0"/>
              <w:snapToGrid w:val="0"/>
              <w:rPr>
                <w:rFonts w:ascii="Arial" w:hAnsi="Arial" w:cs="Arial"/>
                <w:lang w:eastAsia="it-IT"/>
              </w:rPr>
            </w:pPr>
          </w:p>
        </w:tc>
        <w:tc>
          <w:tcPr>
            <w:tcW w:w="1986" w:type="dxa"/>
            <w:shd w:val="clear" w:color="auto" w:fill="auto"/>
            <w:vAlign w:val="bottom"/>
          </w:tcPr>
          <w:p w:rsidR="00000000" w:rsidRDefault="001D19B7">
            <w:pPr>
              <w:suppressAutoHyphens w:val="0"/>
              <w:snapToGrid w:val="0"/>
              <w:rPr>
                <w:rFonts w:ascii="Arial" w:hAnsi="Arial" w:cs="Arial"/>
                <w:lang w:eastAsia="it-IT"/>
              </w:rPr>
            </w:pPr>
          </w:p>
        </w:tc>
        <w:tc>
          <w:tcPr>
            <w:tcW w:w="3028" w:type="dxa"/>
            <w:shd w:val="clear" w:color="auto" w:fill="auto"/>
            <w:vAlign w:val="bottom"/>
          </w:tcPr>
          <w:p w:rsidR="00000000" w:rsidRDefault="001D19B7">
            <w:pPr>
              <w:suppressAutoHyphens w:val="0"/>
              <w:snapToGrid w:val="0"/>
              <w:rPr>
                <w:rFonts w:ascii="Arial" w:hAnsi="Arial" w:cs="Arial"/>
                <w:lang w:eastAsia="it-IT"/>
              </w:rPr>
            </w:pPr>
          </w:p>
        </w:tc>
      </w:tr>
      <w:tr w:rsidR="00000000">
        <w:trPr>
          <w:gridAfter w:val="1"/>
          <w:wAfter w:w="10" w:type="dxa"/>
          <w:trHeight w:val="255"/>
        </w:trPr>
        <w:tc>
          <w:tcPr>
            <w:tcW w:w="2852" w:type="dxa"/>
            <w:gridSpan w:val="4"/>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pPr>
            <w:r>
              <w:rPr>
                <w:rFonts w:ascii="Arial" w:hAnsi="Arial" w:cs="Arial"/>
                <w:b/>
                <w:bCs/>
                <w:lang w:eastAsia="it-IT"/>
              </w:rPr>
              <w:t>4) Pubblicazioni di n</w:t>
            </w:r>
            <w:r>
              <w:rPr>
                <w:rFonts w:ascii="Arial" w:hAnsi="Arial" w:cs="Arial"/>
                <w:b/>
                <w:bCs/>
                <w:lang w:eastAsia="it-IT"/>
              </w:rPr>
              <w:t>atura didattica – max 10 punti</w:t>
            </w:r>
          </w:p>
        </w:tc>
        <w:tc>
          <w:tcPr>
            <w:tcW w:w="661"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b/>
                <w:bCs/>
                <w:lang w:eastAsia="it-IT"/>
              </w:rPr>
            </w:pPr>
          </w:p>
        </w:tc>
        <w:tc>
          <w:tcPr>
            <w:tcW w:w="661"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c>
          <w:tcPr>
            <w:tcW w:w="662"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c>
          <w:tcPr>
            <w:tcW w:w="1986"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c>
          <w:tcPr>
            <w:tcW w:w="3028" w:type="dxa"/>
            <w:tcBorders>
              <w:top w:val="none" w:sz="0" w:space="0" w:color="000000"/>
              <w:left w:val="none" w:sz="0" w:space="0" w:color="000000"/>
              <w:bottom w:val="none" w:sz="0" w:space="0" w:color="000000"/>
              <w:right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r>
      <w:tr w:rsidR="00000000">
        <w:trPr>
          <w:gridAfter w:val="1"/>
          <w:wAfter w:w="10" w:type="dxa"/>
          <w:trHeight w:val="255"/>
        </w:trPr>
        <w:tc>
          <w:tcPr>
            <w:tcW w:w="1530" w:type="dxa"/>
            <w:gridSpan w:val="2"/>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jc w:val="center"/>
              <w:rPr>
                <w:rFonts w:ascii="Arial" w:hAnsi="Arial" w:cs="Arial"/>
                <w:lang w:eastAsia="it-IT"/>
              </w:rPr>
            </w:pPr>
          </w:p>
        </w:tc>
        <w:tc>
          <w:tcPr>
            <w:tcW w:w="3306" w:type="dxa"/>
            <w:gridSpan w:val="5"/>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jc w:val="center"/>
              <w:rPr>
                <w:rFonts w:ascii="Arial" w:hAnsi="Arial" w:cs="Arial"/>
                <w:lang w:eastAsia="it-IT"/>
              </w:rPr>
            </w:pPr>
          </w:p>
        </w:tc>
        <w:tc>
          <w:tcPr>
            <w:tcW w:w="1986" w:type="dxa"/>
            <w:tcBorders>
              <w:top w:val="none" w:sz="0" w:space="0" w:color="000000"/>
              <w:left w:val="none" w:sz="0" w:space="0" w:color="000000"/>
              <w:bottom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c>
          <w:tcPr>
            <w:tcW w:w="3028" w:type="dxa"/>
            <w:tcBorders>
              <w:top w:val="none" w:sz="0" w:space="0" w:color="000000"/>
              <w:left w:val="none" w:sz="0" w:space="0" w:color="000000"/>
              <w:bottom w:val="none" w:sz="0" w:space="0" w:color="000000"/>
              <w:right w:val="none" w:sz="0" w:space="0" w:color="000000"/>
            </w:tcBorders>
            <w:shd w:val="clear" w:color="auto" w:fill="auto"/>
            <w:vAlign w:val="bottom"/>
          </w:tcPr>
          <w:p w:rsidR="00000000" w:rsidRDefault="001D19B7">
            <w:pPr>
              <w:suppressAutoHyphens w:val="0"/>
              <w:snapToGrid w:val="0"/>
              <w:rPr>
                <w:rFonts w:ascii="Arial" w:hAnsi="Arial" w:cs="Arial"/>
                <w:lang w:eastAsia="it-IT"/>
              </w:rPr>
            </w:pPr>
          </w:p>
        </w:tc>
      </w:tr>
      <w:tr w:rsidR="00000000">
        <w:trPr>
          <w:trHeight w:val="555"/>
        </w:trPr>
        <w:tc>
          <w:tcPr>
            <w:tcW w:w="1530" w:type="dxa"/>
            <w:gridSpan w:val="2"/>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jc w:val="center"/>
            </w:pPr>
            <w:r>
              <w:rPr>
                <w:rFonts w:ascii="Arial" w:hAnsi="Arial" w:cs="Arial"/>
                <w:lang w:eastAsia="it-IT"/>
              </w:rPr>
              <w:t>Pubblicazioni</w:t>
            </w:r>
          </w:p>
        </w:tc>
        <w:tc>
          <w:tcPr>
            <w:tcW w:w="3306" w:type="dxa"/>
            <w:gridSpan w:val="5"/>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Pubblilcazioni di testi didattici anche su giornali e riviste</w:t>
            </w:r>
          </w:p>
        </w:tc>
        <w:tc>
          <w:tcPr>
            <w:tcW w:w="1986" w:type="dxa"/>
            <w:tcBorders>
              <w:top w:val="single" w:sz="4" w:space="0" w:color="000000"/>
              <w:left w:val="single" w:sz="4" w:space="0" w:color="000000"/>
              <w:bottom w:val="single" w:sz="4" w:space="0" w:color="000000"/>
            </w:tcBorders>
            <w:shd w:val="clear" w:color="auto" w:fill="auto"/>
            <w:vAlign w:val="bottom"/>
          </w:tcPr>
          <w:p w:rsidR="00000000" w:rsidRDefault="001D19B7">
            <w:pPr>
              <w:suppressAutoHyphens w:val="0"/>
            </w:pPr>
            <w:r>
              <w:rPr>
                <w:rFonts w:ascii="Arial" w:hAnsi="Arial" w:cs="Arial"/>
                <w:sz w:val="16"/>
                <w:szCs w:val="16"/>
                <w:lang w:eastAsia="it-IT"/>
              </w:rPr>
              <w:t>Punti 1</w:t>
            </w:r>
          </w:p>
        </w:tc>
        <w:tc>
          <w:tcPr>
            <w:tcW w:w="30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1D19B7">
            <w:pPr>
              <w:suppressAutoHyphens w:val="0"/>
            </w:pPr>
            <w:r>
              <w:rPr>
                <w:rFonts w:ascii="Arial" w:hAnsi="Arial" w:cs="Arial"/>
                <w:sz w:val="14"/>
                <w:szCs w:val="14"/>
                <w:lang w:eastAsia="it-IT"/>
              </w:rPr>
              <w:t>Punti 1 per pubblicazione sino a max 10</w:t>
            </w:r>
          </w:p>
        </w:tc>
      </w:tr>
    </w:tbl>
    <w:p w:rsidR="00000000" w:rsidRDefault="001D19B7">
      <w:pPr>
        <w:pStyle w:val="Default"/>
        <w:jc w:val="both"/>
      </w:pPr>
    </w:p>
    <w:p w:rsidR="00000000" w:rsidRDefault="001D19B7">
      <w:pPr>
        <w:pStyle w:val="Default"/>
        <w:jc w:val="both"/>
      </w:pPr>
    </w:p>
    <w:p w:rsidR="00000000" w:rsidRDefault="001D19B7">
      <w:pPr>
        <w:pStyle w:val="Default"/>
        <w:jc w:val="both"/>
      </w:pPr>
    </w:p>
    <w:p w:rsidR="00000000" w:rsidRDefault="001D19B7">
      <w:pPr>
        <w:pStyle w:val="Default"/>
        <w:jc w:val="both"/>
      </w:pPr>
      <w:r>
        <w:rPr>
          <w:sz w:val="20"/>
        </w:rPr>
        <w:t xml:space="preserve">A parità di punteggio, valgono le seguenti preferenze: </w:t>
      </w:r>
    </w:p>
    <w:p w:rsidR="00000000" w:rsidRDefault="001D19B7">
      <w:pPr>
        <w:pStyle w:val="Default"/>
        <w:spacing w:after="36"/>
      </w:pPr>
      <w:r>
        <w:rPr>
          <w:sz w:val="20"/>
        </w:rPr>
        <w:t>1. voto di laurea magistrale p</w:t>
      </w:r>
      <w:r>
        <w:rPr>
          <w:sz w:val="20"/>
        </w:rPr>
        <w:t xml:space="preserve">iù alto; </w:t>
      </w:r>
    </w:p>
    <w:p w:rsidR="00000000" w:rsidRDefault="001D19B7">
      <w:pPr>
        <w:pStyle w:val="Default"/>
        <w:spacing w:after="36"/>
      </w:pPr>
      <w:r>
        <w:rPr>
          <w:sz w:val="20"/>
        </w:rPr>
        <w:t xml:space="preserve">2. età anagrafica più giovane. </w:t>
      </w:r>
    </w:p>
    <w:p w:rsidR="00000000" w:rsidRDefault="001D19B7">
      <w:pPr>
        <w:pStyle w:val="Default"/>
        <w:spacing w:after="36"/>
      </w:pPr>
      <w:r>
        <w:rPr>
          <w:sz w:val="20"/>
        </w:rPr>
        <w:t xml:space="preserve">3. I candidati devono inoltre: </w:t>
      </w:r>
    </w:p>
    <w:p w:rsidR="00000000" w:rsidRDefault="001D19B7">
      <w:pPr>
        <w:pStyle w:val="Default"/>
        <w:spacing w:after="36"/>
      </w:pPr>
      <w:r>
        <w:rPr>
          <w:rFonts w:eastAsia="Arial" w:cs="Arial"/>
          <w:sz w:val="20"/>
        </w:rPr>
        <w:t xml:space="preserve"> </w:t>
      </w:r>
      <w:r>
        <w:rPr>
          <w:sz w:val="20"/>
        </w:rPr>
        <w:t xml:space="preserve">Essere in possesso dei requisiti per l’accesso al pubblico impiego </w:t>
      </w:r>
    </w:p>
    <w:p w:rsidR="00000000" w:rsidRDefault="001D19B7">
      <w:pPr>
        <w:pStyle w:val="Default"/>
      </w:pPr>
      <w:r>
        <w:rPr>
          <w:rFonts w:eastAsia="Arial" w:cs="Arial"/>
          <w:sz w:val="20"/>
        </w:rPr>
        <w:t xml:space="preserve"> </w:t>
      </w:r>
      <w:r>
        <w:rPr>
          <w:sz w:val="20"/>
        </w:rPr>
        <w:t xml:space="preserve">Impegnarsi a svolgere l’incarico senza riserve e secondo la tempistica prevista dal progetto. </w:t>
      </w:r>
    </w:p>
    <w:p w:rsidR="00000000" w:rsidRDefault="001D19B7">
      <w:pPr>
        <w:pStyle w:val="Default"/>
      </w:pPr>
      <w:r>
        <w:rPr>
          <w:b/>
          <w:sz w:val="20"/>
        </w:rPr>
        <w:t>Art. 5 – misura</w:t>
      </w:r>
      <w:r>
        <w:rPr>
          <w:b/>
          <w:sz w:val="20"/>
        </w:rPr>
        <w:t xml:space="preserve"> del compenso </w:t>
      </w:r>
    </w:p>
    <w:p w:rsidR="00000000" w:rsidRDefault="001D19B7">
      <w:pPr>
        <w:pStyle w:val="Default"/>
        <w:spacing w:after="36"/>
        <w:jc w:val="both"/>
      </w:pPr>
      <w:r>
        <w:rPr>
          <w:sz w:val="20"/>
        </w:rPr>
        <w:t xml:space="preserve">1. La misura del compenso orario, ovvero di quello forfettario, per le prestazioni effettuate da personale esterno non può di norma superare quella prevista dalla normativa vigente ed è comunque fissata dal consiglio d’istituto per progetti </w:t>
      </w:r>
      <w:r>
        <w:rPr>
          <w:sz w:val="20"/>
        </w:rPr>
        <w:t xml:space="preserve">finanziati con fondi comunitari PON e POR e/o regolamentati dagli Enti erogatori, in caso, farà fede quanto stabilito dai singoli soggetti erogatori.. </w:t>
      </w:r>
    </w:p>
    <w:p w:rsidR="00000000" w:rsidRDefault="001D19B7">
      <w:pPr>
        <w:pStyle w:val="Default"/>
        <w:spacing w:after="36"/>
        <w:jc w:val="both"/>
      </w:pPr>
      <w:r>
        <w:rPr>
          <w:sz w:val="20"/>
        </w:rPr>
        <w:t>2. Prestazioni di particolare rilievo e/o prestigio saranno valutate di volta in volta dal consiglio d’i</w:t>
      </w:r>
      <w:r>
        <w:rPr>
          <w:sz w:val="20"/>
        </w:rPr>
        <w:t xml:space="preserve">stituto. </w:t>
      </w:r>
    </w:p>
    <w:p w:rsidR="00000000" w:rsidRDefault="001D19B7">
      <w:pPr>
        <w:pStyle w:val="Default"/>
        <w:jc w:val="both"/>
      </w:pPr>
      <w:r>
        <w:rPr>
          <w:sz w:val="20"/>
        </w:rPr>
        <w:t xml:space="preserve">3. L’importo totale dovrà intendersi comprensivo anche di eventuali oneri a carico dell’amministrazione. </w:t>
      </w:r>
    </w:p>
    <w:p w:rsidR="00000000" w:rsidRDefault="001D19B7">
      <w:pPr>
        <w:pStyle w:val="Default"/>
        <w:rPr>
          <w:sz w:val="20"/>
        </w:rPr>
      </w:pPr>
    </w:p>
    <w:p w:rsidR="00000000" w:rsidRDefault="001D19B7">
      <w:pPr>
        <w:pStyle w:val="Default"/>
      </w:pPr>
      <w:r>
        <w:rPr>
          <w:b/>
          <w:sz w:val="20"/>
        </w:rPr>
        <w:t xml:space="preserve">Art. 6 – stipula del contratto </w:t>
      </w:r>
    </w:p>
    <w:p w:rsidR="00000000" w:rsidRDefault="001D19B7">
      <w:pPr>
        <w:pStyle w:val="Default"/>
        <w:spacing w:after="36"/>
        <w:jc w:val="both"/>
      </w:pPr>
      <w:r>
        <w:rPr>
          <w:sz w:val="20"/>
        </w:rPr>
        <w:t>1. Il dirigente scolastico provvede, con determinazione motivata in relazione ai criteri definiti con il pr</w:t>
      </w:r>
      <w:r>
        <w:rPr>
          <w:sz w:val="20"/>
        </w:rPr>
        <w:t xml:space="preserve">esente regolamento e nei limiti della spesa del progetto, alla stipula del contratto e alla copertura assicurativa dell’esperto durante lo svolgimento della prestazione. </w:t>
      </w:r>
    </w:p>
    <w:p w:rsidR="00000000" w:rsidRDefault="001D19B7">
      <w:pPr>
        <w:pStyle w:val="Default"/>
        <w:jc w:val="both"/>
      </w:pPr>
      <w:r>
        <w:rPr>
          <w:sz w:val="20"/>
        </w:rPr>
        <w:t xml:space="preserve">2. Nel contratto devono essere specificati: </w:t>
      </w:r>
    </w:p>
    <w:p w:rsidR="00000000" w:rsidRDefault="001D19B7">
      <w:pPr>
        <w:pStyle w:val="Default"/>
        <w:spacing w:after="32"/>
        <w:jc w:val="both"/>
      </w:pPr>
      <w:r>
        <w:rPr>
          <w:sz w:val="20"/>
        </w:rPr>
        <w:t xml:space="preserve">a. le parti contraenti; </w:t>
      </w:r>
    </w:p>
    <w:p w:rsidR="00000000" w:rsidRDefault="001D19B7">
      <w:pPr>
        <w:pStyle w:val="Default"/>
        <w:spacing w:after="32"/>
        <w:jc w:val="both"/>
      </w:pPr>
      <w:r>
        <w:rPr>
          <w:sz w:val="20"/>
        </w:rPr>
        <w:t>b. l’oggetto de</w:t>
      </w:r>
      <w:r>
        <w:rPr>
          <w:sz w:val="20"/>
        </w:rPr>
        <w:t xml:space="preserve">lla collaborazione (descrizione della finalità e del contenuto delle prestazioni richieste); </w:t>
      </w:r>
    </w:p>
    <w:p w:rsidR="00000000" w:rsidRDefault="001D19B7">
      <w:pPr>
        <w:pStyle w:val="Default"/>
        <w:spacing w:after="32"/>
        <w:jc w:val="both"/>
      </w:pPr>
      <w:r>
        <w:rPr>
          <w:sz w:val="20"/>
        </w:rPr>
        <w:t xml:space="preserve">c. durata del contratto con indicazione del termine iniziale e finale del contratto; </w:t>
      </w:r>
    </w:p>
    <w:p w:rsidR="00000000" w:rsidRDefault="001D19B7">
      <w:pPr>
        <w:pStyle w:val="Default"/>
        <w:spacing w:after="32"/>
        <w:jc w:val="both"/>
      </w:pPr>
      <w:r>
        <w:rPr>
          <w:sz w:val="20"/>
        </w:rPr>
        <w:t xml:space="preserve">d. entità, modalità e tempi di corresponsione del compenso; </w:t>
      </w:r>
    </w:p>
    <w:p w:rsidR="00000000" w:rsidRDefault="001D19B7">
      <w:pPr>
        <w:pStyle w:val="Default"/>
        <w:spacing w:after="32"/>
        <w:jc w:val="both"/>
      </w:pPr>
      <w:r>
        <w:rPr>
          <w:sz w:val="20"/>
        </w:rPr>
        <w:t>e. luogo e moda</w:t>
      </w:r>
      <w:r>
        <w:rPr>
          <w:sz w:val="20"/>
        </w:rPr>
        <w:t xml:space="preserve">lità di espletamento dell’attività; </w:t>
      </w:r>
    </w:p>
    <w:p w:rsidR="00000000" w:rsidRDefault="001D19B7">
      <w:pPr>
        <w:pStyle w:val="Default"/>
        <w:spacing w:after="32"/>
        <w:jc w:val="both"/>
      </w:pPr>
      <w:r>
        <w:rPr>
          <w:sz w:val="20"/>
        </w:rPr>
        <w:t xml:space="preserve">f. spese contrattuali e oneri fiscali a carico del prestatore; </w:t>
      </w:r>
    </w:p>
    <w:p w:rsidR="00000000" w:rsidRDefault="001D19B7">
      <w:pPr>
        <w:pStyle w:val="Default"/>
        <w:jc w:val="both"/>
      </w:pPr>
      <w:r>
        <w:rPr>
          <w:sz w:val="20"/>
        </w:rPr>
        <w:t>g. Le cause che possono dar luogo a risoluzione del contratto ai sensi dell’art. 1456 del c.c. e le condizioni per il ricorso delle parti al recesso unilat</w:t>
      </w:r>
      <w:r>
        <w:rPr>
          <w:sz w:val="20"/>
        </w:rPr>
        <w:t xml:space="preserve">erale. </w:t>
      </w:r>
    </w:p>
    <w:p w:rsidR="00000000" w:rsidRDefault="001D19B7">
      <w:pPr>
        <w:pStyle w:val="Default"/>
        <w:spacing w:after="36"/>
        <w:jc w:val="both"/>
      </w:pPr>
      <w:r>
        <w:rPr>
          <w:sz w:val="20"/>
        </w:rPr>
        <w:t>3. La natura giuridica del rapporto che s’instaura con l’incarico di collaborazione esterna è quella di rapporto privatistico qualificato come prestazione d’opera intellettuale; la disciplina che lo regola è pertanto stabilita dall’art. 2222 e segu</w:t>
      </w:r>
      <w:r>
        <w:rPr>
          <w:sz w:val="20"/>
        </w:rPr>
        <w:t xml:space="preserve">enti del c.c. </w:t>
      </w:r>
    </w:p>
    <w:p w:rsidR="00000000" w:rsidRDefault="001D19B7">
      <w:pPr>
        <w:pStyle w:val="Default"/>
        <w:spacing w:after="36"/>
        <w:jc w:val="both"/>
      </w:pPr>
      <w:r>
        <w:rPr>
          <w:sz w:val="20"/>
        </w:rPr>
        <w:t xml:space="preserve">4. I contratti di cui al presente regolamento non possono avere durata superiore all’anno scolastico e non sono rinnovabili; il committente può prorogare, ove ravvisi un motivato interesse, la durata del contratto solo al fine di completare </w:t>
      </w:r>
      <w:r>
        <w:rPr>
          <w:sz w:val="20"/>
        </w:rPr>
        <w:t xml:space="preserve">il progetto e per ritardi non imputabili al collaboratore. </w:t>
      </w:r>
    </w:p>
    <w:p w:rsidR="00000000" w:rsidRDefault="001D19B7">
      <w:pPr>
        <w:pStyle w:val="Default"/>
        <w:jc w:val="both"/>
      </w:pPr>
      <w:r>
        <w:rPr>
          <w:sz w:val="20"/>
        </w:rPr>
        <w:t>5. Per la stipula dei contratti disciplinati dal presente regolamento con i dipendenti di altra amministrazione pubblica è richiesta obbligatoriamente preventiva autorizzazione dell’amministrazion</w:t>
      </w:r>
      <w:r>
        <w:rPr>
          <w:sz w:val="20"/>
        </w:rPr>
        <w:t xml:space="preserve">e di appartenenza ex art. 53 del D.L.vo 30/3/01 n. 165; l’elenco dei contratti così stipulati è comunicato annualmente al dipartimento della funzione pubblica entro i termini previsti dal sopra citato art. 53, commi 12 e 16. </w:t>
      </w:r>
    </w:p>
    <w:p w:rsidR="00000000" w:rsidRDefault="001D19B7">
      <w:pPr>
        <w:pStyle w:val="Default"/>
        <w:jc w:val="both"/>
        <w:rPr>
          <w:sz w:val="20"/>
        </w:rPr>
      </w:pPr>
    </w:p>
    <w:p w:rsidR="00000000" w:rsidRDefault="001D19B7">
      <w:pPr>
        <w:pStyle w:val="Default"/>
      </w:pPr>
      <w:r>
        <w:rPr>
          <w:b/>
          <w:sz w:val="20"/>
        </w:rPr>
        <w:t>Art. 7 – doveri e responsabil</w:t>
      </w:r>
      <w:r>
        <w:rPr>
          <w:b/>
          <w:sz w:val="20"/>
        </w:rPr>
        <w:t xml:space="preserve">ità dell’esperto </w:t>
      </w:r>
    </w:p>
    <w:p w:rsidR="00000000" w:rsidRDefault="001D19B7">
      <w:pPr>
        <w:pStyle w:val="Default"/>
        <w:jc w:val="both"/>
      </w:pPr>
      <w:r>
        <w:rPr>
          <w:sz w:val="20"/>
        </w:rPr>
        <w:t xml:space="preserve">1. L’esperto destinatario del contratto di prestazione d’opera deve assumere nei confronti dell’istituzione scolastica i seguenti impegni: </w:t>
      </w:r>
    </w:p>
    <w:p w:rsidR="00000000" w:rsidRDefault="001D19B7">
      <w:pPr>
        <w:pStyle w:val="Default"/>
        <w:spacing w:after="36"/>
        <w:jc w:val="both"/>
      </w:pPr>
      <w:r>
        <w:rPr>
          <w:sz w:val="20"/>
        </w:rPr>
        <w:t>a. Predisporre specifico progetto d’intervento in base alle eventuali indicazioni e richieste dell</w:t>
      </w:r>
      <w:r>
        <w:rPr>
          <w:sz w:val="20"/>
        </w:rPr>
        <w:t xml:space="preserve">a scuola </w:t>
      </w:r>
    </w:p>
    <w:p w:rsidR="00000000" w:rsidRDefault="001D19B7">
      <w:pPr>
        <w:pStyle w:val="Default"/>
        <w:spacing w:after="36"/>
        <w:jc w:val="both"/>
      </w:pPr>
      <w:r>
        <w:rPr>
          <w:sz w:val="20"/>
        </w:rPr>
        <w:t xml:space="preserve">b. Definire con la scuola il calendario delle attività e concordare con la scuola ogni eventuale variazione </w:t>
      </w:r>
    </w:p>
    <w:p w:rsidR="00000000" w:rsidRDefault="001D19B7">
      <w:pPr>
        <w:pStyle w:val="Default"/>
        <w:jc w:val="both"/>
      </w:pPr>
      <w:r>
        <w:rPr>
          <w:sz w:val="20"/>
        </w:rPr>
        <w:t>c. Consegnare, al termine della prestazione, una relazione sulle attività svolte, sugli obiettivi conseguiti, sul comportamento e le perf</w:t>
      </w:r>
      <w:r>
        <w:rPr>
          <w:sz w:val="20"/>
        </w:rPr>
        <w:t xml:space="preserve">ormance osservate negli studenti durante e al termine delle attività. </w:t>
      </w:r>
    </w:p>
    <w:p w:rsidR="00000000" w:rsidRDefault="001D19B7">
      <w:pPr>
        <w:pStyle w:val="Default"/>
        <w:spacing w:after="36"/>
        <w:jc w:val="both"/>
      </w:pPr>
      <w:r>
        <w:rPr>
          <w:sz w:val="20"/>
        </w:rPr>
        <w:t xml:space="preserve">2. L’esperto è responsabile di eventuali danni causati all’immobile, agli arredi, agli impianti da qualsiasi azione od omissione dolosa o colposa a lui direttamente imputabile. </w:t>
      </w:r>
    </w:p>
    <w:p w:rsidR="00000000" w:rsidRDefault="001D19B7">
      <w:pPr>
        <w:pStyle w:val="Default"/>
        <w:spacing w:after="36"/>
        <w:jc w:val="both"/>
      </w:pPr>
      <w:r>
        <w:rPr>
          <w:sz w:val="20"/>
        </w:rPr>
        <w:t>3. In b</w:t>
      </w:r>
      <w:r>
        <w:rPr>
          <w:sz w:val="20"/>
        </w:rPr>
        <w:t>ase al contratto d’opera può svolgere la propria attività in appoggio degli insegnanti durante l’attività didattica curricolare, e in tal caso la responsabilità sugli alunni rimane a carico degli insegnanti, oppure può gestire direttamente corsi d’insegnam</w:t>
      </w:r>
      <w:r>
        <w:rPr>
          <w:sz w:val="20"/>
        </w:rPr>
        <w:t xml:space="preserve">ento aggiuntivi, assumendo tutte le responsabilità connesse alla vigilanza degli alunni. </w:t>
      </w:r>
    </w:p>
    <w:p w:rsidR="00000000" w:rsidRDefault="001D19B7">
      <w:pPr>
        <w:pStyle w:val="Default"/>
        <w:jc w:val="both"/>
      </w:pPr>
      <w:r>
        <w:rPr>
          <w:sz w:val="20"/>
        </w:rPr>
        <w:t xml:space="preserve">4. In ogni caso l’esperto è tenuto a rispondere direttamente all’istituzione scolastica per ogni intervento connesso all’incarico. </w:t>
      </w:r>
    </w:p>
    <w:p w:rsidR="00000000" w:rsidRDefault="001D19B7">
      <w:pPr>
        <w:pStyle w:val="Default"/>
        <w:rPr>
          <w:sz w:val="20"/>
        </w:rPr>
      </w:pPr>
    </w:p>
    <w:p w:rsidR="00000000" w:rsidRDefault="001D19B7">
      <w:pPr>
        <w:pStyle w:val="Default"/>
      </w:pPr>
      <w:r>
        <w:rPr>
          <w:b/>
          <w:sz w:val="20"/>
        </w:rPr>
        <w:t>Art. 8 – individuazione del perso</w:t>
      </w:r>
      <w:r>
        <w:rPr>
          <w:b/>
          <w:sz w:val="20"/>
        </w:rPr>
        <w:t xml:space="preserve">nale docente per lo svolgimento dei corsi di recupero </w:t>
      </w:r>
    </w:p>
    <w:p w:rsidR="00000000" w:rsidRDefault="001D19B7">
      <w:pPr>
        <w:pStyle w:val="Default"/>
        <w:jc w:val="both"/>
      </w:pPr>
      <w:r>
        <w:rPr>
          <w:sz w:val="20"/>
        </w:rPr>
        <w:t>1. Fermo restando quanto indicato negli articoli precedenti del presente regolamento, visto il D.M. 80/07 e vista l’O.M. 92/07, si stabiliscono i seguenti criteri, elencati in ordine di priorità, per l</w:t>
      </w:r>
      <w:r>
        <w:rPr>
          <w:sz w:val="20"/>
        </w:rPr>
        <w:t xml:space="preserve">’individuazione del </w:t>
      </w:r>
    </w:p>
    <w:p w:rsidR="00000000" w:rsidRDefault="001D19B7">
      <w:pPr>
        <w:pStyle w:val="Default"/>
        <w:jc w:val="both"/>
        <w:rPr>
          <w:sz w:val="20"/>
        </w:rPr>
      </w:pPr>
    </w:p>
    <w:p w:rsidR="00000000" w:rsidRDefault="001D19B7">
      <w:pPr>
        <w:pStyle w:val="Default"/>
        <w:pageBreakBefore/>
        <w:jc w:val="both"/>
        <w:rPr>
          <w:sz w:val="20"/>
        </w:rPr>
      </w:pPr>
    </w:p>
    <w:p w:rsidR="00000000" w:rsidRDefault="001D19B7">
      <w:pPr>
        <w:pStyle w:val="Default"/>
        <w:jc w:val="both"/>
      </w:pPr>
      <w:r>
        <w:rPr>
          <w:sz w:val="20"/>
        </w:rPr>
        <w:t xml:space="preserve">personale docente da utilizzare per lo svolgimento dei corsi di recupero nel secondo quadrimestre e nel periodo estivo, previo accertamento della sua disponibilità: </w:t>
      </w:r>
    </w:p>
    <w:p w:rsidR="00000000" w:rsidRDefault="001D19B7">
      <w:pPr>
        <w:pStyle w:val="Default"/>
        <w:spacing w:after="36"/>
        <w:jc w:val="both"/>
      </w:pPr>
      <w:r>
        <w:rPr>
          <w:sz w:val="20"/>
        </w:rPr>
        <w:t>I. Personale docente interno (anche supplente annuale o temporaneo)</w:t>
      </w:r>
      <w:r>
        <w:rPr>
          <w:sz w:val="20"/>
        </w:rPr>
        <w:t xml:space="preserve"> </w:t>
      </w:r>
    </w:p>
    <w:p w:rsidR="00000000" w:rsidRDefault="001D19B7">
      <w:pPr>
        <w:pStyle w:val="Default"/>
        <w:spacing w:after="36"/>
        <w:jc w:val="both"/>
      </w:pPr>
      <w:r>
        <w:rPr>
          <w:sz w:val="20"/>
        </w:rPr>
        <w:t>II. Personale docente di ruolo, supplente annuale o temporaneo in servizio in istituti viciniori.</w:t>
      </w:r>
    </w:p>
    <w:p w:rsidR="00000000" w:rsidRDefault="001D19B7">
      <w:pPr>
        <w:pStyle w:val="Default"/>
        <w:spacing w:after="36"/>
        <w:jc w:val="both"/>
      </w:pPr>
      <w:r>
        <w:rPr>
          <w:sz w:val="20"/>
        </w:rPr>
        <w:t xml:space="preserve">IV. Personale esterno incluso nella graduatoria d’istituto </w:t>
      </w:r>
    </w:p>
    <w:p w:rsidR="00000000" w:rsidRDefault="001D19B7">
      <w:pPr>
        <w:pStyle w:val="Default"/>
        <w:jc w:val="both"/>
      </w:pPr>
      <w:r>
        <w:rPr>
          <w:sz w:val="20"/>
        </w:rPr>
        <w:t xml:space="preserve">V. Personale esterno non incluso in graduatoria d’istituto. </w:t>
      </w:r>
    </w:p>
    <w:p w:rsidR="00000000" w:rsidRDefault="001D19B7">
      <w:pPr>
        <w:pStyle w:val="Default"/>
        <w:jc w:val="both"/>
      </w:pPr>
      <w:r>
        <w:rPr>
          <w:sz w:val="20"/>
        </w:rPr>
        <w:t>2. Al personale così individuato vi</w:t>
      </w:r>
      <w:r>
        <w:rPr>
          <w:sz w:val="20"/>
        </w:rPr>
        <w:t xml:space="preserve">ene corrisposto il compenso orario definito dalla normativa vigente. </w:t>
      </w:r>
    </w:p>
    <w:p w:rsidR="00000000" w:rsidRDefault="001D19B7">
      <w:pPr>
        <w:pStyle w:val="Default"/>
        <w:jc w:val="both"/>
      </w:pPr>
    </w:p>
    <w:p w:rsidR="00000000" w:rsidRDefault="001D19B7">
      <w:pPr>
        <w:pStyle w:val="Default"/>
        <w:jc w:val="both"/>
      </w:pPr>
    </w:p>
    <w:p w:rsidR="00000000" w:rsidRDefault="001D19B7">
      <w:pPr>
        <w:pStyle w:val="Default"/>
        <w:jc w:val="both"/>
      </w:pPr>
      <w:r>
        <w:t xml:space="preserve">Approvato dal Consiglio di Istituto nella seduta del </w:t>
      </w:r>
      <w:r w:rsidR="00F71497">
        <w:t>11/11/2016</w:t>
      </w:r>
    </w:p>
    <w:p w:rsidR="00000000" w:rsidRDefault="001D19B7">
      <w:pPr>
        <w:pStyle w:val="Default"/>
        <w:jc w:val="both"/>
      </w:pPr>
    </w:p>
    <w:p w:rsidR="00000000" w:rsidRDefault="001D19B7">
      <w:pPr>
        <w:pStyle w:val="Default"/>
        <w:jc w:val="both"/>
      </w:pPr>
      <w:r>
        <w:t xml:space="preserve">con delibera nr. </w:t>
      </w:r>
      <w:r w:rsidR="00F71497">
        <w:t>6</w:t>
      </w:r>
      <w:bookmarkStart w:id="0" w:name="_GoBack"/>
      <w:bookmarkEnd w:id="0"/>
    </w:p>
    <w:p w:rsidR="001D19B7" w:rsidRDefault="001D19B7"/>
    <w:sectPr w:rsidR="001D19B7">
      <w:pgSz w:w="11906" w:h="16838"/>
      <w:pgMar w:top="567" w:right="1134"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97"/>
    <w:rsid w:val="001D19B7"/>
    <w:rsid w:val="00785F83"/>
    <w:rsid w:val="00F6551E"/>
    <w:rsid w:val="00F71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18054D2-7441-441D-ADC5-AC8AC7B9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outlineLvl w:val="0"/>
    </w:pPr>
    <w:rPr>
      <w:rFonts w:ascii="Arial" w:hAnsi="Arial" w:cs="Arial"/>
      <w:b/>
      <w:sz w:val="28"/>
    </w:rPr>
  </w:style>
  <w:style w:type="paragraph" w:styleId="Titolo2">
    <w:name w:val="heading 2"/>
    <w:basedOn w:val="Normale"/>
    <w:next w:val="Normale"/>
    <w:qFormat/>
    <w:pPr>
      <w:keepNext/>
      <w:numPr>
        <w:ilvl w:val="1"/>
        <w:numId w:val="1"/>
      </w:numPr>
      <w:jc w:val="center"/>
      <w:outlineLvl w:val="1"/>
    </w:pPr>
    <w:rPr>
      <w:rFonts w:ascii="Arial" w:hAnsi="Arial" w:cs="Arial"/>
      <w:b/>
      <w:sz w:val="28"/>
    </w:rPr>
  </w:style>
  <w:style w:type="paragraph" w:styleId="Titolo3">
    <w:name w:val="heading 3"/>
    <w:basedOn w:val="Normale"/>
    <w:next w:val="Normale"/>
    <w:qFormat/>
    <w:pPr>
      <w:keepNext/>
      <w:numPr>
        <w:ilvl w:val="2"/>
        <w:numId w:val="1"/>
      </w:numPr>
      <w:outlineLvl w:val="2"/>
    </w:pPr>
    <w:rPr>
      <w:rFonts w:ascii="Arial" w:hAnsi="Arial" w:cs="Arial"/>
      <w:b/>
      <w:sz w:val="24"/>
    </w:rPr>
  </w:style>
  <w:style w:type="paragraph" w:styleId="Titolo4">
    <w:name w:val="heading 4"/>
    <w:basedOn w:val="Normale"/>
    <w:next w:val="Normale"/>
    <w:qFormat/>
    <w:pPr>
      <w:keepNext/>
      <w:numPr>
        <w:ilvl w:val="3"/>
        <w:numId w:val="1"/>
      </w:numPr>
      <w:jc w:val="center"/>
      <w:outlineLvl w:val="3"/>
    </w:pPr>
    <w:rPr>
      <w:b/>
      <w:sz w:val="24"/>
      <w:szCs w:val="24"/>
    </w:rPr>
  </w:style>
  <w:style w:type="paragraph" w:styleId="Titolo5">
    <w:name w:val="heading 5"/>
    <w:basedOn w:val="Normale"/>
    <w:next w:val="Normale"/>
    <w:qFormat/>
    <w:pPr>
      <w:keepNext/>
      <w:numPr>
        <w:ilvl w:val="4"/>
        <w:numId w:val="1"/>
      </w:numPr>
      <w:outlineLvl w:val="4"/>
    </w:pPr>
    <w:rPr>
      <w:rFonts w:ascii="Arial" w:hAnsi="Arial" w:cs="Arial"/>
      <w:sz w:val="24"/>
    </w:rPr>
  </w:style>
  <w:style w:type="paragraph" w:styleId="Titolo6">
    <w:name w:val="heading 6"/>
    <w:basedOn w:val="Normale"/>
    <w:next w:val="Normale"/>
    <w:qFormat/>
    <w:pPr>
      <w:keepNext/>
      <w:numPr>
        <w:ilvl w:val="5"/>
        <w:numId w:val="1"/>
      </w:numPr>
      <w:outlineLvl w:val="5"/>
    </w:pPr>
    <w:rPr>
      <w:rFonts w:ascii="Tahoma" w:hAnsi="Tahoma" w:cs="Tahoma"/>
      <w:b/>
      <w:bCs/>
      <w:sz w:val="22"/>
    </w:rPr>
  </w:style>
  <w:style w:type="paragraph" w:styleId="Titolo7">
    <w:name w:val="heading 7"/>
    <w:basedOn w:val="Normale"/>
    <w:next w:val="Normale"/>
    <w:qFormat/>
    <w:pPr>
      <w:keepNext/>
      <w:numPr>
        <w:ilvl w:val="6"/>
        <w:numId w:val="1"/>
      </w:numPr>
      <w:ind w:left="4956" w:firstLine="708"/>
      <w:outlineLvl w:val="6"/>
    </w:pPr>
    <w:rPr>
      <w:rFonts w:ascii="Arial" w:hAnsi="Arial" w:cs="Arial"/>
      <w:b/>
      <w:bCs/>
      <w:sz w:val="24"/>
    </w:rPr>
  </w:style>
  <w:style w:type="paragraph" w:styleId="Titolo8">
    <w:name w:val="heading 8"/>
    <w:basedOn w:val="Normale"/>
    <w:next w:val="Normale"/>
    <w:qFormat/>
    <w:pPr>
      <w:keepNext/>
      <w:numPr>
        <w:ilvl w:val="7"/>
        <w:numId w:val="1"/>
      </w:numPr>
      <w:ind w:left="4956" w:hanging="4956"/>
      <w:outlineLvl w:val="7"/>
    </w:pPr>
    <w:rPr>
      <w:rFonts w:ascii="Arial" w:hAnsi="Arial" w:cs="Arial"/>
      <w:b/>
      <w:bCs/>
      <w:sz w:val="24"/>
    </w:rPr>
  </w:style>
  <w:style w:type="paragraph" w:styleId="Titolo9">
    <w:name w:val="heading 9"/>
    <w:basedOn w:val="Normale"/>
    <w:next w:val="Normale"/>
    <w:qFormat/>
    <w:pPr>
      <w:keepNext/>
      <w:numPr>
        <w:ilvl w:val="8"/>
        <w:numId w:val="1"/>
      </w:numP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2">
    <w:name w:val="Car. predefinito paragrafo2"/>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ascii="Courier New" w:hAnsi="Courier New" w:cs="Courier Ne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Wingdings" w:hAnsi="Wingdings" w:cs="Wingdings"/>
    </w:rPr>
  </w:style>
  <w:style w:type="character" w:customStyle="1" w:styleId="WW8Num37z4">
    <w:name w:val="WW8Num37z4"/>
    <w:rPr>
      <w:rFonts w:ascii="Courier New" w:hAnsi="Courier New" w:cs="Courier New"/>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styleId="Collegamentovisitato">
    <w:name w:val="FollowedHyperlink"/>
    <w:basedOn w:val="Carpredefinitoparagrafo1"/>
    <w:rPr>
      <w:color w:val="800080"/>
      <w:u w:val="single"/>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ind w:right="849"/>
    </w:pPr>
    <w:rPr>
      <w:rFonts w:ascii="Tahoma" w:hAnsi="Tahoma" w:cs="Tahoma"/>
      <w:b/>
      <w:sz w:val="22"/>
    </w:rPr>
  </w:style>
  <w:style w:type="paragraph" w:styleId="Elenco">
    <w:name w:val="List"/>
    <w:basedOn w:val="Corpotesto"/>
    <w:rPr>
      <w:rFonts w:cs="Mangal"/>
    </w:rPr>
  </w:style>
  <w:style w:type="paragraph" w:styleId="Didascalia">
    <w:name w:val="caption"/>
    <w:basedOn w:val="Normale"/>
    <w:next w:val="Normale"/>
    <w:qFormat/>
    <w:pPr>
      <w:jc w:val="center"/>
    </w:pPr>
    <w:rPr>
      <w:b/>
      <w:bCs/>
      <w:sz w:val="36"/>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after="120"/>
    </w:pPr>
    <w:rPr>
      <w:rFonts w:ascii="Liberation Sans" w:eastAsia="Arial Unicode MS" w:hAnsi="Liberation Sans" w:cs="Mangal"/>
      <w:sz w:val="28"/>
      <w:szCs w:val="28"/>
    </w:rPr>
  </w:style>
  <w:style w:type="paragraph" w:customStyle="1" w:styleId="Mappadocumento1">
    <w:name w:val="Mappa documento1"/>
    <w:basedOn w:val="Normale"/>
    <w:pPr>
      <w:shd w:val="clear" w:color="auto" w:fill="000080"/>
    </w:pPr>
    <w:rPr>
      <w:rFonts w:ascii="Tahoma" w:hAnsi="Tahoma" w:cs="Tahoma"/>
    </w:rPr>
  </w:style>
  <w:style w:type="paragraph" w:styleId="Rientrocorpodeltesto">
    <w:name w:val="Body Text Indent"/>
    <w:basedOn w:val="Normale"/>
    <w:pPr>
      <w:ind w:firstLine="708"/>
    </w:pPr>
    <w:rPr>
      <w:rFonts w:ascii="Tahoma" w:hAnsi="Tahoma" w:cs="Tahoma"/>
      <w:b/>
      <w:sz w:val="24"/>
    </w:rPr>
  </w:style>
  <w:style w:type="paragraph" w:customStyle="1" w:styleId="Corpodeltesto21">
    <w:name w:val="Corpo del testo 21"/>
    <w:basedOn w:val="Normale"/>
    <w:rPr>
      <w:rFonts w:ascii="Tahoma" w:hAnsi="Tahoma" w:cs="Tahoma"/>
      <w:bCs/>
      <w:sz w:val="24"/>
    </w:rPr>
  </w:style>
  <w:style w:type="paragraph" w:customStyle="1" w:styleId="Corpodeltesto31">
    <w:name w:val="Corpo del testo 31"/>
    <w:basedOn w:val="Normale"/>
    <w:pPr>
      <w:jc w:val="both"/>
    </w:pPr>
    <w:rPr>
      <w:sz w:val="24"/>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pPr>
    <w:rPr>
      <w:rFonts w:ascii="Arial" w:eastAsia="SimSun" w:hAnsi="Arial" w:cs="Mangal"/>
      <w:color w:val="000000"/>
      <w:kern w:val="1"/>
      <w:sz w:val="24"/>
      <w:szCs w:val="24"/>
      <w:lang w:eastAsia="zh-CN" w:bidi="hi-IN"/>
    </w:rPr>
  </w:style>
  <w:style w:type="paragraph" w:styleId="Testofumetto">
    <w:name w:val="Balloon Text"/>
    <w:basedOn w:val="Normale"/>
    <w:link w:val="TestofumettoCarattere"/>
    <w:uiPriority w:val="99"/>
    <w:semiHidden/>
    <w:unhideWhenUsed/>
    <w:rsid w:val="00785F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5F83"/>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onarrotiguspini.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onarrotiserramanna@tisca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1819</Words>
  <Characters>10370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ISTITUTO TECNICO STATALE COMMERCIALE E PER GEOMETRI “M</vt:lpstr>
    </vt:vector>
  </TitlesOfParts>
  <Company/>
  <LinksUpToDate>false</LinksUpToDate>
  <CharactersWithSpaces>12165</CharactersWithSpaces>
  <SharedDoc>false</SharedDoc>
  <HLinks>
    <vt:vector size="12" baseType="variant">
      <vt:variant>
        <vt:i4>1769526</vt:i4>
      </vt:variant>
      <vt:variant>
        <vt:i4>3</vt:i4>
      </vt:variant>
      <vt:variant>
        <vt:i4>0</vt:i4>
      </vt:variant>
      <vt:variant>
        <vt:i4>5</vt:i4>
      </vt:variant>
      <vt:variant>
        <vt:lpwstr>mailto:buonarrotiserramanna@tiscali.it</vt:lpwstr>
      </vt:variant>
      <vt:variant>
        <vt:lpwstr/>
      </vt:variant>
      <vt:variant>
        <vt:i4>1245198</vt:i4>
      </vt:variant>
      <vt:variant>
        <vt:i4>0</vt:i4>
      </vt:variant>
      <vt:variant>
        <vt:i4>0</vt:i4>
      </vt:variant>
      <vt:variant>
        <vt:i4>5</vt:i4>
      </vt:variant>
      <vt:variant>
        <vt:lpwstr>http://www.buonarrotiguspini.it/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COMMERCIALE E PER GEOMETRI “M</dc:title>
  <dc:subject/>
  <dc:creator>I.T.C. Guspini</dc:creator>
  <cp:keywords/>
  <dc:description/>
  <cp:lastModifiedBy>Ardu</cp:lastModifiedBy>
  <cp:revision>2</cp:revision>
  <cp:lastPrinted>2018-04-07T11:06:00Z</cp:lastPrinted>
  <dcterms:created xsi:type="dcterms:W3CDTF">2018-04-07T11:11:00Z</dcterms:created>
  <dcterms:modified xsi:type="dcterms:W3CDTF">2018-04-07T11:11:00Z</dcterms:modified>
</cp:coreProperties>
</file>